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7497A" w14:textId="77777777" w:rsidR="00D4575C" w:rsidRDefault="00D4575C" w:rsidP="00782432">
      <w:pPr>
        <w:autoSpaceDE w:val="0"/>
        <w:autoSpaceDN w:val="0"/>
        <w:adjustRightInd w:val="0"/>
        <w:jc w:val="center"/>
        <w:rPr>
          <w:b/>
          <w:bCs/>
        </w:rPr>
      </w:pPr>
      <w:bookmarkStart w:id="0" w:name="_GoBack"/>
      <w:bookmarkEnd w:id="0"/>
    </w:p>
    <w:p w14:paraId="7267497B" w14:textId="77777777" w:rsidR="00C919BD" w:rsidRPr="001B226F" w:rsidRDefault="00C919BD" w:rsidP="00C919BD">
      <w:pPr>
        <w:jc w:val="center"/>
        <w:rPr>
          <w:rFonts w:asciiTheme="minorHAnsi" w:hAnsiTheme="minorHAnsi"/>
          <w:b/>
          <w:bCs/>
          <w:sz w:val="28"/>
          <w:szCs w:val="28"/>
          <w:u w:val="single"/>
        </w:rPr>
      </w:pPr>
      <w:bookmarkStart w:id="1" w:name="_Toc244312864"/>
      <w:r w:rsidRPr="001B226F">
        <w:rPr>
          <w:rFonts w:asciiTheme="minorHAnsi" w:hAnsiTheme="minorHAnsi"/>
          <w:b/>
          <w:bCs/>
          <w:sz w:val="28"/>
          <w:szCs w:val="28"/>
          <w:u w:val="single"/>
        </w:rPr>
        <w:t xml:space="preserve">ATTACHMENT 2: </w:t>
      </w:r>
    </w:p>
    <w:p w14:paraId="7267497C" w14:textId="77777777" w:rsidR="00C919BD" w:rsidRPr="001B226F" w:rsidRDefault="00C919BD" w:rsidP="00C919BD">
      <w:pPr>
        <w:widowControl w:val="0"/>
        <w:autoSpaceDE w:val="0"/>
        <w:autoSpaceDN w:val="0"/>
        <w:adjustRightInd w:val="0"/>
        <w:jc w:val="center"/>
        <w:rPr>
          <w:rFonts w:asciiTheme="minorHAnsi" w:hAnsiTheme="minorHAnsi"/>
          <w:b/>
          <w:bCs/>
          <w:sz w:val="28"/>
          <w:szCs w:val="28"/>
          <w:u w:val="single"/>
        </w:rPr>
      </w:pPr>
      <w:r w:rsidRPr="001B226F">
        <w:rPr>
          <w:rFonts w:asciiTheme="minorHAnsi" w:hAnsiTheme="minorHAnsi"/>
          <w:b/>
          <w:bCs/>
          <w:sz w:val="28"/>
          <w:szCs w:val="28"/>
          <w:u w:val="single"/>
        </w:rPr>
        <w:t xml:space="preserve">EERE INTELLECTUAL PROPERTY PROVISIONS: </w:t>
      </w:r>
    </w:p>
    <w:p w14:paraId="7267497D" w14:textId="77777777" w:rsidR="00C919BD" w:rsidRPr="001B226F" w:rsidRDefault="00C919BD" w:rsidP="00C919BD">
      <w:pPr>
        <w:widowControl w:val="0"/>
        <w:autoSpaceDE w:val="0"/>
        <w:autoSpaceDN w:val="0"/>
        <w:adjustRightInd w:val="0"/>
        <w:jc w:val="center"/>
        <w:rPr>
          <w:rFonts w:asciiTheme="minorHAnsi" w:hAnsiTheme="minorHAnsi"/>
          <w:b/>
          <w:bCs/>
          <w:sz w:val="28"/>
          <w:szCs w:val="28"/>
          <w:u w:val="single"/>
        </w:rPr>
      </w:pPr>
      <w:r w:rsidRPr="001B226F">
        <w:rPr>
          <w:rFonts w:asciiTheme="minorHAnsi" w:hAnsiTheme="minorHAnsi"/>
          <w:b/>
          <w:bCs/>
          <w:sz w:val="28"/>
          <w:szCs w:val="28"/>
          <w:u w:val="single"/>
        </w:rPr>
        <w:t>NONRESEARCH AND DEVELOPMENT AWARDS</w:t>
      </w:r>
    </w:p>
    <w:bookmarkEnd w:id="1"/>
    <w:p w14:paraId="7267497E" w14:textId="77777777" w:rsidR="00782432" w:rsidRDefault="00782432" w:rsidP="00782432">
      <w:pPr>
        <w:autoSpaceDE w:val="0"/>
        <w:autoSpaceDN w:val="0"/>
        <w:adjustRightInd w:val="0"/>
      </w:pPr>
    </w:p>
    <w:p w14:paraId="7267497F" w14:textId="77777777" w:rsidR="00782432" w:rsidRDefault="00782432" w:rsidP="00782432">
      <w:pPr>
        <w:autoSpaceDE w:val="0"/>
        <w:autoSpaceDN w:val="0"/>
        <w:adjustRightInd w:val="0"/>
      </w:pPr>
    </w:p>
    <w:p w14:paraId="72674980" w14:textId="77777777" w:rsidR="00782432" w:rsidRPr="00C919BD" w:rsidRDefault="00782432" w:rsidP="00782432">
      <w:pPr>
        <w:autoSpaceDE w:val="0"/>
        <w:autoSpaceDN w:val="0"/>
        <w:adjustRightInd w:val="0"/>
        <w:rPr>
          <w:rFonts w:asciiTheme="minorHAnsi" w:hAnsiTheme="minorHAnsi" w:cstheme="minorHAnsi"/>
          <w:sz w:val="20"/>
          <w:szCs w:val="20"/>
        </w:rPr>
      </w:pPr>
      <w:r w:rsidRPr="00C919BD">
        <w:rPr>
          <w:rFonts w:asciiTheme="minorHAnsi" w:hAnsiTheme="minorHAnsi" w:cstheme="minorHAnsi"/>
        </w:rPr>
        <w:t>Nonprofit organizations are subject to the intellectual property requirements at 10 CFR 600.136(a), (c) and (d). All other organizations are subject to the intellectual property requirements at 10 CFR 600.136(a) and (c).</w:t>
      </w:r>
    </w:p>
    <w:p w14:paraId="72674981" w14:textId="77777777" w:rsidR="00782432" w:rsidRPr="00C919BD" w:rsidRDefault="00782432">
      <w:pPr>
        <w:rPr>
          <w:rFonts w:asciiTheme="minorHAnsi" w:hAnsiTheme="minorHAnsi" w:cstheme="minorHAnsi"/>
        </w:rPr>
      </w:pPr>
    </w:p>
    <w:p w14:paraId="72674982" w14:textId="77777777" w:rsidR="005F46E4" w:rsidRPr="00C919BD" w:rsidRDefault="005F46E4">
      <w:pPr>
        <w:rPr>
          <w:rFonts w:asciiTheme="minorHAnsi" w:hAnsiTheme="minorHAnsi" w:cstheme="minorHAnsi"/>
        </w:rPr>
      </w:pPr>
    </w:p>
    <w:p w14:paraId="72674983" w14:textId="77777777" w:rsidR="005F46E4" w:rsidRPr="00C919BD" w:rsidRDefault="005F46E4" w:rsidP="005F46E4">
      <w:pPr>
        <w:tabs>
          <w:tab w:val="left" w:pos="0"/>
          <w:tab w:val="left" w:pos="360"/>
          <w:tab w:val="left" w:pos="720"/>
          <w:tab w:val="left" w:pos="1080"/>
          <w:tab w:val="left" w:pos="1440"/>
          <w:tab w:val="left" w:pos="1800"/>
          <w:tab w:val="left" w:pos="2160"/>
          <w:tab w:val="left" w:pos="4320"/>
          <w:tab w:val="left" w:pos="4860"/>
          <w:tab w:val="left" w:pos="5400"/>
          <w:tab w:val="left" w:pos="5940"/>
          <w:tab w:val="left" w:pos="6480"/>
          <w:tab w:val="left" w:pos="7020"/>
          <w:tab w:val="left" w:pos="7560"/>
          <w:tab w:val="left" w:pos="8100"/>
          <w:tab w:val="left" w:pos="8640"/>
          <w:tab w:val="left" w:pos="9180"/>
        </w:tabs>
        <w:spacing w:before="100" w:beforeAutospacing="1" w:after="100" w:afterAutospacing="1"/>
        <w:rPr>
          <w:rFonts w:asciiTheme="minorHAnsi" w:hAnsiTheme="minorHAnsi" w:cstheme="minorHAnsi"/>
        </w:rPr>
      </w:pPr>
      <w:r w:rsidRPr="00C919BD">
        <w:rPr>
          <w:rFonts w:asciiTheme="minorHAnsi" w:hAnsiTheme="minorHAnsi" w:cstheme="minorHAnsi"/>
        </w:rPr>
        <w:t>600.136 Intangible property.</w:t>
      </w:r>
    </w:p>
    <w:p w14:paraId="72674984" w14:textId="77777777" w:rsidR="005F46E4" w:rsidRPr="00C919BD" w:rsidRDefault="005F46E4" w:rsidP="00C40A44">
      <w:pPr>
        <w:tabs>
          <w:tab w:val="left" w:pos="360"/>
          <w:tab w:val="left" w:pos="720"/>
          <w:tab w:val="left" w:pos="1080"/>
          <w:tab w:val="left" w:pos="1440"/>
          <w:tab w:val="left" w:pos="1800"/>
          <w:tab w:val="left" w:pos="2160"/>
          <w:tab w:val="left" w:pos="4320"/>
          <w:tab w:val="left" w:pos="4860"/>
          <w:tab w:val="left" w:pos="5400"/>
          <w:tab w:val="left" w:pos="5940"/>
          <w:tab w:val="left" w:pos="6480"/>
          <w:tab w:val="left" w:pos="7020"/>
          <w:tab w:val="left" w:pos="7560"/>
          <w:tab w:val="left" w:pos="8100"/>
          <w:tab w:val="left" w:pos="8640"/>
          <w:tab w:val="left" w:pos="9180"/>
        </w:tabs>
        <w:spacing w:before="100" w:beforeAutospacing="1" w:after="100" w:afterAutospacing="1"/>
        <w:ind w:left="360"/>
        <w:rPr>
          <w:rFonts w:asciiTheme="minorHAnsi" w:hAnsiTheme="minorHAnsi" w:cstheme="minorHAnsi"/>
        </w:rPr>
      </w:pPr>
      <w:r w:rsidRPr="00C919BD">
        <w:rPr>
          <w:rFonts w:asciiTheme="minorHAnsi" w:hAnsiTheme="minorHAnsi" w:cstheme="minorHAnsi"/>
        </w:rPr>
        <w:t>(a)   Recipients may copyright any work that is subject to copyright and was developed, or for which ownership was purchased, under an award.  DOE reserves a royalty-free, nonexclusive and irrevocable right to reproduce, publish or otherwise use the work for Federal purposes, and to authorize others to do so.</w:t>
      </w:r>
    </w:p>
    <w:p w14:paraId="72674985" w14:textId="77777777" w:rsidR="005F46E4" w:rsidRPr="00C919BD" w:rsidRDefault="005F46E4" w:rsidP="005F46E4">
      <w:pPr>
        <w:tabs>
          <w:tab w:val="left" w:pos="0"/>
          <w:tab w:val="left" w:pos="360"/>
          <w:tab w:val="left" w:pos="720"/>
          <w:tab w:val="left" w:pos="1080"/>
          <w:tab w:val="left" w:pos="1440"/>
          <w:tab w:val="left" w:pos="1800"/>
          <w:tab w:val="left" w:pos="2160"/>
          <w:tab w:val="left" w:pos="4320"/>
          <w:tab w:val="left" w:pos="4860"/>
          <w:tab w:val="left" w:pos="5400"/>
          <w:tab w:val="left" w:pos="5940"/>
          <w:tab w:val="left" w:pos="6480"/>
          <w:tab w:val="left" w:pos="7020"/>
          <w:tab w:val="left" w:pos="7560"/>
          <w:tab w:val="left" w:pos="8100"/>
          <w:tab w:val="left" w:pos="8640"/>
          <w:tab w:val="left" w:pos="9180"/>
        </w:tabs>
        <w:spacing w:before="100" w:beforeAutospacing="1" w:after="100" w:afterAutospacing="1"/>
        <w:ind w:firstLine="360"/>
        <w:rPr>
          <w:rFonts w:asciiTheme="minorHAnsi" w:hAnsiTheme="minorHAnsi" w:cstheme="minorHAnsi"/>
        </w:rPr>
      </w:pPr>
      <w:r w:rsidRPr="00C919BD">
        <w:rPr>
          <w:rFonts w:asciiTheme="minorHAnsi" w:hAnsiTheme="minorHAnsi" w:cstheme="minorHAnsi"/>
        </w:rPr>
        <w:t xml:space="preserve"> (c)   DOE has the right to:</w:t>
      </w:r>
    </w:p>
    <w:p w14:paraId="72674986" w14:textId="77777777" w:rsidR="005F46E4" w:rsidRPr="00C919BD" w:rsidRDefault="005F46E4" w:rsidP="005F46E4">
      <w:pPr>
        <w:tabs>
          <w:tab w:val="left" w:pos="0"/>
          <w:tab w:val="left" w:pos="360"/>
          <w:tab w:val="left" w:pos="720"/>
          <w:tab w:val="left" w:pos="1080"/>
          <w:tab w:val="left" w:pos="1440"/>
          <w:tab w:val="left" w:pos="1800"/>
          <w:tab w:val="left" w:pos="2160"/>
          <w:tab w:val="left" w:pos="4320"/>
          <w:tab w:val="left" w:pos="4860"/>
          <w:tab w:val="left" w:pos="5400"/>
          <w:tab w:val="left" w:pos="5940"/>
          <w:tab w:val="left" w:pos="6480"/>
          <w:tab w:val="left" w:pos="7020"/>
          <w:tab w:val="left" w:pos="7560"/>
          <w:tab w:val="left" w:pos="8100"/>
          <w:tab w:val="left" w:pos="8640"/>
          <w:tab w:val="left" w:pos="9180"/>
        </w:tabs>
        <w:spacing w:before="100" w:beforeAutospacing="1" w:after="100" w:afterAutospacing="1"/>
        <w:ind w:left="360" w:firstLine="360"/>
        <w:rPr>
          <w:rFonts w:asciiTheme="minorHAnsi" w:hAnsiTheme="minorHAnsi" w:cstheme="minorHAnsi"/>
        </w:rPr>
      </w:pPr>
      <w:r w:rsidRPr="00C919BD">
        <w:rPr>
          <w:rFonts w:asciiTheme="minorHAnsi" w:hAnsiTheme="minorHAnsi" w:cstheme="minorHAnsi"/>
        </w:rPr>
        <w:t>(1)   Obtain, reproduce, publish or otherwise use the data first produced under an award; and</w:t>
      </w:r>
    </w:p>
    <w:p w14:paraId="72674987" w14:textId="77777777" w:rsidR="005F46E4" w:rsidRPr="00C919BD" w:rsidRDefault="005F46E4" w:rsidP="005F46E4">
      <w:pPr>
        <w:tabs>
          <w:tab w:val="left" w:pos="0"/>
          <w:tab w:val="left" w:pos="360"/>
          <w:tab w:val="left" w:pos="720"/>
          <w:tab w:val="left" w:pos="1080"/>
          <w:tab w:val="left" w:pos="1440"/>
          <w:tab w:val="left" w:pos="1800"/>
          <w:tab w:val="left" w:pos="2160"/>
          <w:tab w:val="left" w:pos="4320"/>
          <w:tab w:val="left" w:pos="4860"/>
          <w:tab w:val="left" w:pos="5400"/>
          <w:tab w:val="left" w:pos="5940"/>
          <w:tab w:val="left" w:pos="6480"/>
          <w:tab w:val="left" w:pos="7020"/>
          <w:tab w:val="left" w:pos="7560"/>
          <w:tab w:val="left" w:pos="8100"/>
          <w:tab w:val="left" w:pos="8640"/>
          <w:tab w:val="left" w:pos="9180"/>
        </w:tabs>
        <w:spacing w:before="100" w:beforeAutospacing="1" w:after="100" w:afterAutospacing="1"/>
        <w:ind w:left="360" w:firstLine="360"/>
        <w:rPr>
          <w:rFonts w:asciiTheme="minorHAnsi" w:hAnsiTheme="minorHAnsi" w:cstheme="minorHAnsi"/>
        </w:rPr>
      </w:pPr>
      <w:r w:rsidRPr="00C919BD">
        <w:rPr>
          <w:rFonts w:asciiTheme="minorHAnsi" w:hAnsiTheme="minorHAnsi" w:cstheme="minorHAnsi"/>
        </w:rPr>
        <w:t>(2)   Authorize others to receive, reproduce, publish, or otherwise use such data for Federal purposes.</w:t>
      </w:r>
    </w:p>
    <w:p w14:paraId="72674988" w14:textId="77777777" w:rsidR="005F46E4" w:rsidRPr="00C919BD" w:rsidRDefault="00C40A44" w:rsidP="005F46E4">
      <w:pPr>
        <w:tabs>
          <w:tab w:val="left" w:pos="0"/>
          <w:tab w:val="left" w:pos="360"/>
          <w:tab w:val="left" w:pos="720"/>
          <w:tab w:val="left" w:pos="1080"/>
          <w:tab w:val="left" w:pos="1440"/>
          <w:tab w:val="left" w:pos="1800"/>
          <w:tab w:val="left" w:pos="2160"/>
          <w:tab w:val="left" w:pos="4320"/>
          <w:tab w:val="left" w:pos="4860"/>
          <w:tab w:val="left" w:pos="5400"/>
          <w:tab w:val="left" w:pos="5940"/>
          <w:tab w:val="left" w:pos="6480"/>
          <w:tab w:val="left" w:pos="7020"/>
          <w:tab w:val="left" w:pos="7560"/>
          <w:tab w:val="left" w:pos="8100"/>
          <w:tab w:val="left" w:pos="8640"/>
          <w:tab w:val="left" w:pos="9180"/>
        </w:tabs>
        <w:spacing w:before="100" w:beforeAutospacing="1" w:after="100" w:afterAutospacing="1"/>
        <w:ind w:left="360"/>
        <w:rPr>
          <w:rFonts w:asciiTheme="minorHAnsi" w:hAnsiTheme="minorHAnsi" w:cstheme="minorHAnsi"/>
        </w:rPr>
      </w:pPr>
      <w:r w:rsidRPr="00C919BD">
        <w:rPr>
          <w:rFonts w:asciiTheme="minorHAnsi" w:hAnsiTheme="minorHAnsi" w:cstheme="minorHAnsi"/>
        </w:rPr>
        <w:t xml:space="preserve">(d) </w:t>
      </w:r>
      <w:r w:rsidR="005F46E4" w:rsidRPr="00C919BD">
        <w:rPr>
          <w:rFonts w:asciiTheme="minorHAnsi" w:hAnsiTheme="minorHAnsi" w:cstheme="minorHAnsi"/>
        </w:rPr>
        <w:t xml:space="preserve">  In addition, in response to a Freedom of Information act (FOIA) request for research data relating to published research findings produced under an award that were used by the Federal Government in developing an agency action that has the force and effect of law, the DOE shall request, and the recipient shall provide, within a reasonable time, the research data so that they can be made available to the public through the procedures established under the FOIA.  If the DOE obtains the research data solely in response to a FOIA request, the agency may charge the requester a reasonable fee equaling the full incremental cost of obtaining the research data.   This fee should reflect the costs incurred by the agency, the recipient, and applicable </w:t>
      </w:r>
      <w:proofErr w:type="spellStart"/>
      <w:r w:rsidR="005F46E4" w:rsidRPr="00C919BD">
        <w:rPr>
          <w:rFonts w:asciiTheme="minorHAnsi" w:hAnsiTheme="minorHAnsi" w:cstheme="minorHAnsi"/>
        </w:rPr>
        <w:t>subrecipients</w:t>
      </w:r>
      <w:proofErr w:type="spellEnd"/>
      <w:r w:rsidR="005F46E4" w:rsidRPr="00C919BD">
        <w:rPr>
          <w:rFonts w:asciiTheme="minorHAnsi" w:hAnsiTheme="minorHAnsi" w:cstheme="minorHAnsi"/>
        </w:rPr>
        <w:t>.  This fee is in addition to any fees the agency may assess under the FOIA (5 U.S.C. 552(a</w:t>
      </w:r>
      <w:proofErr w:type="gramStart"/>
      <w:r w:rsidR="005F46E4" w:rsidRPr="00C919BD">
        <w:rPr>
          <w:rFonts w:asciiTheme="minorHAnsi" w:hAnsiTheme="minorHAnsi" w:cstheme="minorHAnsi"/>
        </w:rPr>
        <w:t>)(</w:t>
      </w:r>
      <w:proofErr w:type="gramEnd"/>
      <w:r w:rsidR="005F46E4" w:rsidRPr="00C919BD">
        <w:rPr>
          <w:rFonts w:asciiTheme="minorHAnsi" w:hAnsiTheme="minorHAnsi" w:cstheme="minorHAnsi"/>
        </w:rPr>
        <w:t>4)(A)).</w:t>
      </w:r>
    </w:p>
    <w:p w14:paraId="72674989" w14:textId="77777777" w:rsidR="005F46E4" w:rsidRDefault="005F46E4"/>
    <w:sectPr w:rsidR="005F46E4" w:rsidSect="00D84357">
      <w:head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20F95" w14:textId="77777777" w:rsidR="00013F3D" w:rsidRDefault="00013F3D">
      <w:r>
        <w:separator/>
      </w:r>
    </w:p>
  </w:endnote>
  <w:endnote w:type="continuationSeparator" w:id="0">
    <w:p w14:paraId="24FBDF97" w14:textId="77777777" w:rsidR="00013F3D" w:rsidRDefault="000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0D4AB" w14:textId="77777777" w:rsidR="00013F3D" w:rsidRDefault="00013F3D">
      <w:r>
        <w:separator/>
      </w:r>
    </w:p>
  </w:footnote>
  <w:footnote w:type="continuationSeparator" w:id="0">
    <w:p w14:paraId="62B23933" w14:textId="77777777" w:rsidR="00013F3D" w:rsidRDefault="0001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3999" w14:textId="64033102" w:rsidR="001B226F" w:rsidRDefault="001B226F" w:rsidP="00D44902">
    <w:pPr>
      <w:pStyle w:val="Header"/>
      <w:ind w:left="-720"/>
      <w:rPr>
        <w:b/>
        <w:sz w:val="20"/>
        <w:szCs w:val="20"/>
      </w:rPr>
    </w:pPr>
    <w:r w:rsidRPr="001B226F">
      <w:rPr>
        <w:rFonts w:eastAsia="Arial"/>
        <w:noProof/>
      </w:rPr>
      <mc:AlternateContent>
        <mc:Choice Requires="wps">
          <w:drawing>
            <wp:anchor distT="0" distB="0" distL="114300" distR="114300" simplePos="0" relativeHeight="251659264" behindDoc="0" locked="0" layoutInCell="1" allowOverlap="1" wp14:anchorId="697BF91C" wp14:editId="5CCF3C19">
              <wp:simplePos x="0" y="0"/>
              <wp:positionH relativeFrom="column">
                <wp:posOffset>1238250</wp:posOffset>
              </wp:positionH>
              <wp:positionV relativeFrom="paragraph">
                <wp:posOffset>-1</wp:posOffset>
              </wp:positionV>
              <wp:extent cx="4210050" cy="6953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95325"/>
                      </a:xfrm>
                      <a:prstGeom prst="rect">
                        <a:avLst/>
                      </a:prstGeom>
                      <a:noFill/>
                      <a:ln w="9525">
                        <a:noFill/>
                        <a:miter lim="800000"/>
                        <a:headEnd/>
                        <a:tailEnd/>
                      </a:ln>
                    </wps:spPr>
                    <wps:txbx>
                      <w:txbxContent>
                        <w:p w14:paraId="7856A187" w14:textId="77D81008" w:rsidR="00D44902" w:rsidRDefault="00AF7C11" w:rsidP="00D44902">
                          <w:pPr>
                            <w:ind w:left="720"/>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  </w:t>
                          </w:r>
                          <w:r w:rsidR="001B226F" w:rsidRPr="00D44902">
                            <w:rPr>
                              <w:rFonts w:asciiTheme="minorHAnsi" w:hAnsiTheme="minorHAnsi"/>
                              <w:b/>
                              <w:color w:val="FFFFFF" w:themeColor="background1"/>
                              <w:sz w:val="28"/>
                              <w:szCs w:val="28"/>
                            </w:rPr>
                            <w:t>IP Provision – Non</w:t>
                          </w:r>
                          <w:r w:rsidR="00C62B37">
                            <w:rPr>
                              <w:rFonts w:asciiTheme="minorHAnsi" w:hAnsiTheme="minorHAnsi"/>
                              <w:b/>
                              <w:color w:val="FFFFFF" w:themeColor="background1"/>
                              <w:sz w:val="28"/>
                              <w:szCs w:val="28"/>
                            </w:rPr>
                            <w:t>-R</w:t>
                          </w:r>
                          <w:r w:rsidR="001B226F" w:rsidRPr="00D44902">
                            <w:rPr>
                              <w:rFonts w:asciiTheme="minorHAnsi" w:hAnsiTheme="minorHAnsi"/>
                              <w:b/>
                              <w:color w:val="FFFFFF" w:themeColor="background1"/>
                              <w:sz w:val="28"/>
                              <w:szCs w:val="28"/>
                            </w:rPr>
                            <w:t>esearch and Development</w:t>
                          </w:r>
                        </w:p>
                        <w:p w14:paraId="1DDC76D7" w14:textId="36EBEAC2" w:rsidR="001B226F" w:rsidRDefault="001B226F" w:rsidP="00D44902">
                          <w:pPr>
                            <w:ind w:left="720"/>
                            <w:jc w:val="right"/>
                            <w:rPr>
                              <w:rFonts w:asciiTheme="minorHAnsi" w:hAnsiTheme="minorHAnsi"/>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97.5pt;margin-top:0;width:331.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" filled="f" stroked="f">
              <v:textbox>
                <w:txbxContent>
                  <w:p w14:paraId="7856A187" w14:textId="77D81008" w:rsidR="00D44902" w:rsidRDefault="00AF7C11" w:rsidP="00D44902">
                    <w:pPr>
                      <w:ind w:left="720"/>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  </w:t>
                    </w:r>
                    <w:r w:rsidR="001B226F" w:rsidRPr="00D44902">
                      <w:rPr>
                        <w:rFonts w:asciiTheme="minorHAnsi" w:hAnsiTheme="minorHAnsi"/>
                        <w:b/>
                        <w:color w:val="FFFFFF" w:themeColor="background1"/>
                        <w:sz w:val="28"/>
                        <w:szCs w:val="28"/>
                      </w:rPr>
                      <w:t>IP Provision – Non</w:t>
                    </w:r>
                    <w:r w:rsidR="00C62B37">
                      <w:rPr>
                        <w:rFonts w:asciiTheme="minorHAnsi" w:hAnsiTheme="minorHAnsi"/>
                        <w:b/>
                        <w:color w:val="FFFFFF" w:themeColor="background1"/>
                        <w:sz w:val="28"/>
                        <w:szCs w:val="28"/>
                      </w:rPr>
                      <w:t>-R</w:t>
                    </w:r>
                    <w:r w:rsidR="001B226F" w:rsidRPr="00D44902">
                      <w:rPr>
                        <w:rFonts w:asciiTheme="minorHAnsi" w:hAnsiTheme="minorHAnsi"/>
                        <w:b/>
                        <w:color w:val="FFFFFF" w:themeColor="background1"/>
                        <w:sz w:val="28"/>
                        <w:szCs w:val="28"/>
                      </w:rPr>
                      <w:t>esearch and Development</w:t>
                    </w:r>
                  </w:p>
                  <w:p w14:paraId="1DDC76D7" w14:textId="36EBEAC2" w:rsidR="001B226F" w:rsidRDefault="001B226F" w:rsidP="00D44902">
                    <w:pPr>
                      <w:ind w:left="720"/>
                      <w:jc w:val="right"/>
                      <w:rPr>
                        <w:rFonts w:asciiTheme="minorHAnsi" w:hAnsiTheme="minorHAnsi"/>
                        <w:color w:val="FFFFFF" w:themeColor="background1"/>
                        <w:sz w:val="20"/>
                        <w:szCs w:val="20"/>
                      </w:rPr>
                    </w:pPr>
                  </w:p>
                </w:txbxContent>
              </v:textbox>
            </v:shape>
          </w:pict>
        </mc:Fallback>
      </mc:AlternateContent>
    </w:r>
    <w:r>
      <w:rPr>
        <w:noProof/>
      </w:rPr>
      <w:drawing>
        <wp:inline distT="0" distB="0" distL="0" distR="0" wp14:anchorId="5776D1C3" wp14:editId="4AB5D194">
          <wp:extent cx="6076950" cy="692394"/>
          <wp:effectExtent l="0" t="0" r="0" b="0"/>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6076950" cy="692394"/>
                  </a:xfrm>
                  <a:prstGeom prst="rect">
                    <a:avLst/>
                  </a:prstGeom>
                </pic:spPr>
              </pic:pic>
            </a:graphicData>
          </a:graphic>
        </wp:inline>
      </w:drawing>
    </w:r>
  </w:p>
  <w:p w14:paraId="7267498E" w14:textId="77777777" w:rsidR="00C919BD" w:rsidRPr="001B226F" w:rsidRDefault="00C919BD" w:rsidP="00C919BD">
    <w:pPr>
      <w:pStyle w:val="Header"/>
      <w:rPr>
        <w:rFonts w:asciiTheme="minorHAnsi" w:hAnsiTheme="minorHAnsi"/>
        <w:b/>
        <w:sz w:val="20"/>
        <w:szCs w:val="20"/>
      </w:rPr>
    </w:pPr>
    <w:r w:rsidRPr="001B226F">
      <w:rPr>
        <w:rFonts w:asciiTheme="minorHAnsi" w:hAnsiTheme="minorHAnsi"/>
        <w:b/>
        <w:sz w:val="20"/>
        <w:szCs w:val="20"/>
      </w:rPr>
      <w:t>EERE Award No. DE-EE000____ to ____________</w:t>
    </w:r>
  </w:p>
  <w:p w14:paraId="72674990" w14:textId="08022FDF" w:rsidR="00D84357" w:rsidRPr="00D4575C" w:rsidRDefault="00C919BD" w:rsidP="001B226F">
    <w:pPr>
      <w:pStyle w:val="Header"/>
    </w:pPr>
    <w:r w:rsidRPr="001B226F">
      <w:rPr>
        <w:rFonts w:asciiTheme="minorHAnsi" w:hAnsiTheme="minorHAnsi"/>
        <w:b/>
        <w:sz w:val="20"/>
        <w:szCs w:val="20"/>
      </w:rPr>
      <w:t xml:space="preserve">Attachment 2 – EERE Intellectual Property Provisions: </w:t>
    </w:r>
    <w:proofErr w:type="spellStart"/>
    <w:r w:rsidRPr="001B226F">
      <w:rPr>
        <w:rFonts w:asciiTheme="minorHAnsi" w:hAnsiTheme="minorHAnsi"/>
        <w:b/>
        <w:sz w:val="20"/>
        <w:szCs w:val="20"/>
      </w:rPr>
      <w:t>Nonresearch</w:t>
    </w:r>
    <w:proofErr w:type="spellEnd"/>
    <w:r w:rsidRPr="001B226F">
      <w:rPr>
        <w:rFonts w:asciiTheme="minorHAnsi" w:hAnsiTheme="minorHAnsi"/>
        <w:b/>
        <w:sz w:val="20"/>
        <w:szCs w:val="20"/>
      </w:rPr>
      <w:t xml:space="preserve"> and Development Awards (“NRD”)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32"/>
    <w:rsid w:val="00013F3D"/>
    <w:rsid w:val="00181A11"/>
    <w:rsid w:val="001B226F"/>
    <w:rsid w:val="001E20EA"/>
    <w:rsid w:val="002B4F2E"/>
    <w:rsid w:val="00301F0E"/>
    <w:rsid w:val="003563ED"/>
    <w:rsid w:val="005740C9"/>
    <w:rsid w:val="005D227A"/>
    <w:rsid w:val="005F46E4"/>
    <w:rsid w:val="006661FE"/>
    <w:rsid w:val="00782432"/>
    <w:rsid w:val="008F0AB6"/>
    <w:rsid w:val="009632F8"/>
    <w:rsid w:val="009908C1"/>
    <w:rsid w:val="00AF7C11"/>
    <w:rsid w:val="00C40A44"/>
    <w:rsid w:val="00C62B37"/>
    <w:rsid w:val="00C919BD"/>
    <w:rsid w:val="00D44902"/>
    <w:rsid w:val="00D4575C"/>
    <w:rsid w:val="00D84357"/>
    <w:rsid w:val="00EA21B3"/>
    <w:rsid w:val="00F93079"/>
    <w:rsid w:val="00FD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357"/>
    <w:pPr>
      <w:tabs>
        <w:tab w:val="center" w:pos="4320"/>
        <w:tab w:val="right" w:pos="8640"/>
      </w:tabs>
    </w:pPr>
  </w:style>
  <w:style w:type="paragraph" w:styleId="Footer">
    <w:name w:val="footer"/>
    <w:basedOn w:val="Normal"/>
    <w:rsid w:val="00D84357"/>
    <w:pPr>
      <w:tabs>
        <w:tab w:val="center" w:pos="4320"/>
        <w:tab w:val="right" w:pos="8640"/>
      </w:tabs>
    </w:pPr>
  </w:style>
  <w:style w:type="character" w:customStyle="1" w:styleId="HeaderChar">
    <w:name w:val="Header Char"/>
    <w:link w:val="Header"/>
    <w:uiPriority w:val="99"/>
    <w:rsid w:val="00C919BD"/>
    <w:rPr>
      <w:sz w:val="24"/>
      <w:szCs w:val="24"/>
    </w:rPr>
  </w:style>
  <w:style w:type="paragraph" w:styleId="BalloonText">
    <w:name w:val="Balloon Text"/>
    <w:basedOn w:val="Normal"/>
    <w:link w:val="BalloonTextChar"/>
    <w:rsid w:val="001B226F"/>
    <w:rPr>
      <w:rFonts w:ascii="Tahoma" w:hAnsi="Tahoma" w:cs="Tahoma"/>
      <w:sz w:val="16"/>
      <w:szCs w:val="16"/>
    </w:rPr>
  </w:style>
  <w:style w:type="character" w:customStyle="1" w:styleId="BalloonTextChar">
    <w:name w:val="Balloon Text Char"/>
    <w:basedOn w:val="DefaultParagraphFont"/>
    <w:link w:val="BalloonText"/>
    <w:rsid w:val="001B2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357"/>
    <w:pPr>
      <w:tabs>
        <w:tab w:val="center" w:pos="4320"/>
        <w:tab w:val="right" w:pos="8640"/>
      </w:tabs>
    </w:pPr>
  </w:style>
  <w:style w:type="paragraph" w:styleId="Footer">
    <w:name w:val="footer"/>
    <w:basedOn w:val="Normal"/>
    <w:rsid w:val="00D84357"/>
    <w:pPr>
      <w:tabs>
        <w:tab w:val="center" w:pos="4320"/>
        <w:tab w:val="right" w:pos="8640"/>
      </w:tabs>
    </w:pPr>
  </w:style>
  <w:style w:type="character" w:customStyle="1" w:styleId="HeaderChar">
    <w:name w:val="Header Char"/>
    <w:link w:val="Header"/>
    <w:uiPriority w:val="99"/>
    <w:rsid w:val="00C919BD"/>
    <w:rPr>
      <w:sz w:val="24"/>
      <w:szCs w:val="24"/>
    </w:rPr>
  </w:style>
  <w:style w:type="paragraph" w:styleId="BalloonText">
    <w:name w:val="Balloon Text"/>
    <w:basedOn w:val="Normal"/>
    <w:link w:val="BalloonTextChar"/>
    <w:rsid w:val="001B226F"/>
    <w:rPr>
      <w:rFonts w:ascii="Tahoma" w:hAnsi="Tahoma" w:cs="Tahoma"/>
      <w:sz w:val="16"/>
      <w:szCs w:val="16"/>
    </w:rPr>
  </w:style>
  <w:style w:type="character" w:customStyle="1" w:styleId="BalloonTextChar">
    <w:name w:val="Balloon Text Char"/>
    <w:basedOn w:val="DefaultParagraphFont"/>
    <w:link w:val="BalloonText"/>
    <w:rsid w:val="001B2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608C27C-45A6-46BC-B20D-9910D2C69D2F}">
  <ds:schemaRefs>
    <ds:schemaRef ds:uri="Microsoft.SharePoint.Taxonomy.ContentTypeSync"/>
  </ds:schemaRefs>
</ds:datastoreItem>
</file>

<file path=customXml/itemProps2.xml><?xml version="1.0" encoding="utf-8"?>
<ds:datastoreItem xmlns:ds="http://schemas.openxmlformats.org/officeDocument/2006/customXml" ds:itemID="{E6A99192-2FDE-4E92-ACD4-5CECD03568F4}">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A591ED62-F583-441B-95D8-AE5ECDA53795}">
  <ds:schemaRefs>
    <ds:schemaRef ds:uri="http://schemas.microsoft.com/sharepoint/v3/contenttype/forms"/>
  </ds:schemaRefs>
</ds:datastoreItem>
</file>

<file path=customXml/itemProps4.xml><?xml version="1.0" encoding="utf-8"?>
<ds:datastoreItem xmlns:ds="http://schemas.openxmlformats.org/officeDocument/2006/customXml" ds:itemID="{EB03C73C-1CF6-49D9-93FA-52AEAD05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4EA111-55C4-44F9-BF30-CC36CC2269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Intellectual Property Provisions (NRD-1003)</vt:lpstr>
    </vt:vector>
  </TitlesOfParts>
  <Company>U.S. Department of Energy - Golden Field Office</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175, IP Provision - Nonresearch and Development</dc:title>
  <dc:subject>Form used by individuals and organizations applying for EERE funding.</dc:subject>
  <dc:creator>dberg</dc:creator>
  <cp:lastModifiedBy>Elizabeth Spencer</cp:lastModifiedBy>
  <cp:revision>4</cp:revision>
  <dcterms:created xsi:type="dcterms:W3CDTF">2014-09-09T15:30:00Z</dcterms:created>
  <dcterms:modified xsi:type="dcterms:W3CDTF">2014-12-17T14:13:00Z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