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D" w:rsidRDefault="004F691D" w:rsidP="00006E44">
      <w:pPr>
        <w:pStyle w:val="TAP-BodyTextstandard"/>
        <w:spacing w:after="80"/>
        <w:rPr>
          <w:rFonts w:ascii="Arial" w:hAnsi="Arial"/>
          <w:b/>
          <w:color w:val="006699"/>
          <w:sz w:val="24"/>
        </w:rPr>
      </w:pPr>
      <w:bookmarkStart w:id="0" w:name="_GoBack"/>
      <w:bookmarkEnd w:id="0"/>
      <w:r w:rsidRPr="004F691D">
        <w:rPr>
          <w:rFonts w:ascii="Arial" w:hAnsi="Arial"/>
          <w:b/>
          <w:color w:val="006699"/>
          <w:sz w:val="24"/>
        </w:rPr>
        <w:t xml:space="preserve">Tool 7.1: Inventory of Potential Financing Activities </w:t>
      </w:r>
    </w:p>
    <w:p w:rsidR="004F691D" w:rsidRPr="004F691D" w:rsidRDefault="004F691D" w:rsidP="004F691D">
      <w:pPr>
        <w:pStyle w:val="NoSpacing"/>
        <w:rPr>
          <w:rFonts w:ascii="Calibri" w:eastAsia="Times New Roman" w:hAnsi="Calibri" w:cs="Times New Roman"/>
          <w:color w:val="000000"/>
          <w:sz w:val="20"/>
          <w:szCs w:val="24"/>
        </w:rPr>
      </w:pPr>
      <w:r w:rsidRPr="004F691D">
        <w:rPr>
          <w:rFonts w:ascii="Calibri" w:eastAsia="Times New Roman" w:hAnsi="Calibri" w:cs="Times New Roman"/>
          <w:color w:val="000000"/>
          <w:sz w:val="20"/>
          <w:szCs w:val="24"/>
        </w:rPr>
        <w:t xml:space="preserve">You can use this template to collect critical information for your inventory of potential financing options. An example has been provided below. 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97"/>
        <w:gridCol w:w="7963"/>
      </w:tblGrid>
      <w:tr w:rsidR="004F691D" w:rsidRPr="006B78F8" w:rsidTr="004F691D">
        <w:trPr>
          <w:trHeight w:val="365"/>
        </w:trPr>
        <w:tc>
          <w:tcPr>
            <w:tcW w:w="10285" w:type="dxa"/>
            <w:gridSpan w:val="2"/>
            <w:shd w:val="clear" w:color="auto" w:fill="006699"/>
          </w:tcPr>
          <w:p w:rsidR="004F691D" w:rsidRPr="00091C44" w:rsidRDefault="004F691D" w:rsidP="004F691D">
            <w:pPr>
              <w:pStyle w:val="TAP-TableHeaderCenter"/>
              <w:spacing w:before="40" w:after="40"/>
              <w:jc w:val="left"/>
              <w:rPr>
                <w:color w:val="FFFFFF" w:themeColor="background1"/>
                <w:sz w:val="24"/>
              </w:rPr>
            </w:pPr>
            <w:r w:rsidRPr="004F691D">
              <w:rPr>
                <w:bCs w:val="0"/>
              </w:rPr>
              <w:t>Financing Option:</w:t>
            </w:r>
            <w:r w:rsidRPr="006B78F8">
              <w:rPr>
                <w:rFonts w:ascii="Franklin Gothic Medium" w:hAnsi="Franklin Gothic Medium"/>
                <w:color w:val="FFFFFF" w:themeColor="background1"/>
                <w:sz w:val="24"/>
              </w:rPr>
              <w:t xml:space="preserve">   </w:t>
            </w: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Potential Actions: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Description: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Who Offers: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Pros: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Cons: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For More Information:</w:t>
            </w:r>
          </w:p>
        </w:tc>
        <w:tc>
          <w:tcPr>
            <w:tcW w:w="8894" w:type="dxa"/>
            <w:shd w:val="clear" w:color="auto" w:fill="EEECE1"/>
          </w:tcPr>
          <w:p w:rsidR="004F691D" w:rsidRDefault="004F691D" w:rsidP="004F691D">
            <w:pPr>
              <w:pStyle w:val="NoSpacing"/>
            </w:pPr>
          </w:p>
        </w:tc>
      </w:tr>
      <w:tr w:rsidR="004F691D" w:rsidTr="004F691D">
        <w:trPr>
          <w:trHeight w:val="288"/>
        </w:trPr>
        <w:tc>
          <w:tcPr>
            <w:tcW w:w="1391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spacing w:before="40" w:after="40"/>
              <w:jc w:val="left"/>
              <w:rPr>
                <w:bCs w:val="0"/>
              </w:rPr>
            </w:pPr>
            <w:r w:rsidRPr="004F691D">
              <w:rPr>
                <w:bCs w:val="0"/>
              </w:rPr>
              <w:t>Next Steps:</w:t>
            </w:r>
          </w:p>
        </w:tc>
        <w:tc>
          <w:tcPr>
            <w:tcW w:w="8894" w:type="dxa"/>
            <w:shd w:val="clear" w:color="auto" w:fill="EEECE1"/>
          </w:tcPr>
          <w:p w:rsidR="004F691D" w:rsidRPr="00D077E8" w:rsidRDefault="004F691D" w:rsidP="004F691D">
            <w:pPr>
              <w:pStyle w:val="NoSpacing"/>
            </w:pPr>
          </w:p>
        </w:tc>
      </w:tr>
    </w:tbl>
    <w:p w:rsidR="004F691D" w:rsidRPr="004F691D" w:rsidRDefault="004F691D" w:rsidP="004F691D">
      <w:pPr>
        <w:pStyle w:val="TAP-BodyTextstandard"/>
        <w:spacing w:before="0" w:after="0"/>
        <w:rPr>
          <w:b/>
          <w:i/>
          <w:sz w:val="16"/>
          <w:szCs w:val="16"/>
        </w:rPr>
      </w:pPr>
    </w:p>
    <w:p w:rsidR="008E71E6" w:rsidRPr="004F691D" w:rsidRDefault="004F691D" w:rsidP="004F691D">
      <w:pPr>
        <w:pStyle w:val="TAP-BodyTextstandard"/>
        <w:spacing w:before="60" w:after="80"/>
        <w:rPr>
          <w:b/>
          <w:i/>
        </w:rPr>
      </w:pPr>
      <w:r w:rsidRPr="004F691D">
        <w:rPr>
          <w:b/>
          <w:i/>
        </w:rPr>
        <w:t>Example: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97"/>
        <w:gridCol w:w="7963"/>
      </w:tblGrid>
      <w:tr w:rsidR="004F691D" w:rsidRPr="006B78F8" w:rsidTr="004F691D">
        <w:trPr>
          <w:trHeight w:val="276"/>
        </w:trPr>
        <w:tc>
          <w:tcPr>
            <w:tcW w:w="9360" w:type="dxa"/>
            <w:gridSpan w:val="2"/>
            <w:shd w:val="clear" w:color="auto" w:fill="006699"/>
          </w:tcPr>
          <w:p w:rsidR="004F691D" w:rsidRPr="00091C44" w:rsidRDefault="004F691D" w:rsidP="004F691D">
            <w:pPr>
              <w:pStyle w:val="TAP-TableHeaderCenter"/>
              <w:spacing w:before="40" w:after="40"/>
              <w:jc w:val="left"/>
              <w:rPr>
                <w:color w:val="FFFFFF" w:themeColor="background1"/>
                <w:sz w:val="24"/>
              </w:rPr>
            </w:pPr>
            <w:r w:rsidRPr="004F691D">
              <w:rPr>
                <w:bCs w:val="0"/>
              </w:rPr>
              <w:t>Financing Option:</w:t>
            </w:r>
            <w:r w:rsidRPr="006B78F8">
              <w:rPr>
                <w:rFonts w:ascii="Franklin Gothic Medium" w:hAnsi="Franklin Gothic Medium"/>
                <w:color w:val="FFFFFF" w:themeColor="background1"/>
                <w:sz w:val="24"/>
              </w:rPr>
              <w:t xml:space="preserve">   </w:t>
            </w:r>
          </w:p>
        </w:tc>
      </w:tr>
      <w:tr w:rsidR="004F691D" w:rsidTr="004F691D">
        <w:trPr>
          <w:trHeight w:val="168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Potential Actions: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6B602C">
            <w:pPr>
              <w:pStyle w:val="NoSpacing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Streetlight replacement, City Hall upgrades</w:t>
            </w:r>
          </w:p>
        </w:tc>
      </w:tr>
      <w:tr w:rsidR="004F691D" w:rsidTr="004F691D">
        <w:trPr>
          <w:trHeight w:val="469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Description: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4F691D">
            <w:pPr>
              <w:pStyle w:val="NoSpacing"/>
              <w:spacing w:after="0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Special debt obligations for EE and RE support - enables qualified government issuers to borrow money at attractive rates to fund energy conservation projects.</w:t>
            </w:r>
          </w:p>
        </w:tc>
      </w:tr>
      <w:tr w:rsidR="004F691D" w:rsidTr="004F691D">
        <w:trPr>
          <w:trHeight w:val="288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Who Offers: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 xml:space="preserve">U.S. Congress authorized $3.2 billion of QECB issuance capacity, which has been allocated to states, local governments and tribal governments based upon population. 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City is the qualified issuer, or an entity empowered to issue bonds on behalf of the city</w:t>
            </w:r>
          </w:p>
        </w:tc>
      </w:tr>
      <w:tr w:rsidR="004F691D" w:rsidTr="004F691D">
        <w:trPr>
          <w:trHeight w:val="288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Pros: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 xml:space="preserve">Could provide a substantial amount of low-cost capital that can be infused into </w:t>
            </w:r>
            <w:r>
              <w:rPr>
                <w:sz w:val="20"/>
                <w:szCs w:val="20"/>
              </w:rPr>
              <w:t xml:space="preserve">new/ </w:t>
            </w:r>
            <w:r w:rsidRPr="004F691D">
              <w:rPr>
                <w:sz w:val="20"/>
                <w:szCs w:val="20"/>
              </w:rPr>
              <w:t>existing programs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Among the lowest-cost public financing tools available because the Treasury subsidizes the issuer's borrowing costs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Engages private investors</w:t>
            </w:r>
          </w:p>
        </w:tc>
      </w:tr>
      <w:tr w:rsidR="004F691D" w:rsidTr="004F691D">
        <w:trPr>
          <w:trHeight w:val="288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Cons: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7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Issuance process requires an investment of time on the part of the City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7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Issuance costs may be high relative to capital raised for small QECB allocations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7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The City may be averse to taking on more debt</w:t>
            </w:r>
          </w:p>
        </w:tc>
      </w:tr>
      <w:tr w:rsidR="004F691D" w:rsidTr="004F691D">
        <w:trPr>
          <w:trHeight w:val="330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For More Information: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6B602C">
            <w:pPr>
              <w:pStyle w:val="NoSpacing"/>
              <w:rPr>
                <w:bCs/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 xml:space="preserve">See DOE </w:t>
            </w:r>
            <w:r w:rsidRPr="004F691D">
              <w:rPr>
                <w:bCs/>
                <w:sz w:val="20"/>
                <w:szCs w:val="20"/>
              </w:rPr>
              <w:t>Qualified Energy Conservation Bond (QECB) Resource page and links provided there</w:t>
            </w:r>
          </w:p>
        </w:tc>
      </w:tr>
      <w:tr w:rsidR="004F691D" w:rsidTr="004F691D">
        <w:trPr>
          <w:trHeight w:val="288"/>
        </w:trPr>
        <w:tc>
          <w:tcPr>
            <w:tcW w:w="1397" w:type="dxa"/>
            <w:shd w:val="clear" w:color="auto" w:fill="006699"/>
          </w:tcPr>
          <w:p w:rsidR="004F691D" w:rsidRPr="004F691D" w:rsidRDefault="004F691D" w:rsidP="004F691D">
            <w:pPr>
              <w:pStyle w:val="TAP-TableHeaderCenter"/>
              <w:jc w:val="left"/>
              <w:rPr>
                <w:bCs w:val="0"/>
              </w:rPr>
            </w:pPr>
            <w:r w:rsidRPr="004F691D">
              <w:rPr>
                <w:bCs w:val="0"/>
              </w:rPr>
              <w:t>Next Steps:</w:t>
            </w:r>
          </w:p>
        </w:tc>
        <w:tc>
          <w:tcPr>
            <w:tcW w:w="7963" w:type="dxa"/>
            <w:shd w:val="clear" w:color="auto" w:fill="EEECE1"/>
          </w:tcPr>
          <w:p w:rsidR="004F691D" w:rsidRPr="004F691D" w:rsidRDefault="004F691D" w:rsidP="004F691D">
            <w:pPr>
              <w:pStyle w:val="NoSpacing"/>
              <w:spacing w:after="0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 xml:space="preserve">Issuance takes several months to structure, market, </w:t>
            </w:r>
            <w:proofErr w:type="gramStart"/>
            <w:r w:rsidRPr="004F691D">
              <w:rPr>
                <w:sz w:val="20"/>
                <w:szCs w:val="20"/>
              </w:rPr>
              <w:t>price</w:t>
            </w:r>
            <w:proofErr w:type="gramEnd"/>
            <w:r w:rsidRPr="004F691D">
              <w:rPr>
                <w:sz w:val="20"/>
                <w:szCs w:val="20"/>
              </w:rPr>
              <w:t xml:space="preserve"> and close. Next steps: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7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Select potential eligible projects</w:t>
            </w:r>
          </w:p>
          <w:p w:rsidR="004F691D" w:rsidRPr="004F691D" w:rsidRDefault="004F691D" w:rsidP="004F691D">
            <w:pPr>
              <w:pStyle w:val="NoSpacing"/>
              <w:numPr>
                <w:ilvl w:val="0"/>
                <w:numId w:val="34"/>
              </w:numPr>
              <w:spacing w:after="0"/>
              <w:ind w:left="403"/>
              <w:rPr>
                <w:sz w:val="20"/>
                <w:szCs w:val="20"/>
              </w:rPr>
            </w:pPr>
            <w:r w:rsidRPr="004F691D">
              <w:rPr>
                <w:sz w:val="20"/>
                <w:szCs w:val="20"/>
              </w:rPr>
              <w:t>Consult with the City’s bond counsel for more information on the QECB opportunity</w:t>
            </w:r>
          </w:p>
        </w:tc>
      </w:tr>
    </w:tbl>
    <w:p w:rsidR="008E71E6" w:rsidRPr="00006E44" w:rsidRDefault="008E71E6" w:rsidP="004F691D">
      <w:pPr>
        <w:pStyle w:val="TAP-TableBodyalignleft"/>
        <w:spacing w:before="0" w:after="0"/>
        <w:rPr>
          <w:rFonts w:ascii="Calibri" w:hAnsi="Calibri"/>
          <w:sz w:val="4"/>
          <w:szCs w:val="4"/>
        </w:rPr>
      </w:pPr>
    </w:p>
    <w:sectPr w:rsidR="008E71E6" w:rsidRPr="00006E44" w:rsidSect="00373D11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CF" w:rsidRDefault="00A849CF">
      <w:r>
        <w:separator/>
      </w:r>
    </w:p>
  </w:endnote>
  <w:endnote w:type="continuationSeparator" w:id="0">
    <w:p w:rsidR="00A849CF" w:rsidRDefault="00A8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A849CF" w:rsidP="00373D11">
    <w:pPr>
      <w:pStyle w:val="Footer"/>
      <w:tabs>
        <w:tab w:val="clear" w:pos="8640"/>
        <w:tab w:val="left" w:pos="0"/>
        <w:tab w:val="right" w:pos="93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3D11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373D11">
          <w:rPr>
            <w:rFonts w:ascii="Arial" w:hAnsi="Arial" w:cs="Arial"/>
            <w:sz w:val="16"/>
            <w:szCs w:val="16"/>
          </w:rPr>
          <w:t>Planning</w:t>
        </w:r>
        <w:r w:rsidR="00373D11" w:rsidRPr="002177B4">
          <w:rPr>
            <w:rFonts w:ascii="Arial" w:hAnsi="Arial" w:cs="Arial"/>
            <w:sz w:val="16"/>
            <w:szCs w:val="16"/>
          </w:rPr>
          <w:tab/>
        </w:r>
        <w:r w:rsidR="00373D11" w:rsidRPr="002177B4">
          <w:rPr>
            <w:rFonts w:ascii="Arial" w:hAnsi="Arial" w:cs="Arial"/>
            <w:sz w:val="16"/>
            <w:szCs w:val="16"/>
          </w:rPr>
          <w:fldChar w:fldCharType="begin"/>
        </w:r>
        <w:r w:rsidR="00373D11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373D11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9553C0">
          <w:rPr>
            <w:rFonts w:ascii="Arial" w:hAnsi="Arial" w:cs="Arial"/>
            <w:noProof/>
            <w:sz w:val="16"/>
            <w:szCs w:val="16"/>
          </w:rPr>
          <w:t>1</w:t>
        </w:r>
        <w:r w:rsidR="00373D11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373D11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373D11" w:rsidRPr="00BA61D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134F83" wp14:editId="37DE206B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6400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7in;height:0;z-index:251661312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CF" w:rsidRDefault="00A849CF">
      <w:r>
        <w:separator/>
      </w:r>
    </w:p>
  </w:footnote>
  <w:footnote w:type="continuationSeparator" w:id="0">
    <w:p w:rsidR="00A849CF" w:rsidRDefault="00A8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C5" w:rsidRPr="00373D11" w:rsidRDefault="00373D11" w:rsidP="00373D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A354" wp14:editId="3428B0CC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6400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" fillcolor="#069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0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EA9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48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104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A3220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EEA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E3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4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A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231"/>
    <w:multiLevelType w:val="hybridMultilevel"/>
    <w:tmpl w:val="630AE03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D6993"/>
    <w:multiLevelType w:val="hybridMultilevel"/>
    <w:tmpl w:val="CFEE9CBE"/>
    <w:lvl w:ilvl="0" w:tplc="98C68572">
      <w:start w:val="1"/>
      <w:numFmt w:val="bullet"/>
      <w:pStyle w:val="TAP-BulletLevel1"/>
      <w:lvlText w:val="•"/>
      <w:lvlJc w:val="left"/>
      <w:pPr>
        <w:ind w:left="720" w:hanging="360"/>
      </w:pPr>
      <w:rPr>
        <w:rFonts w:ascii="Calibri" w:hAnsi="Calibri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61D9"/>
    <w:multiLevelType w:val="hybridMultilevel"/>
    <w:tmpl w:val="F88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2CEE"/>
    <w:multiLevelType w:val="hybridMultilevel"/>
    <w:tmpl w:val="B10EE726"/>
    <w:lvl w:ilvl="0" w:tplc="31D0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8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E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A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D142D2"/>
    <w:multiLevelType w:val="hybridMultilevel"/>
    <w:tmpl w:val="841475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331B8"/>
    <w:multiLevelType w:val="hybridMultilevel"/>
    <w:tmpl w:val="14D47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59C3231"/>
    <w:multiLevelType w:val="hybridMultilevel"/>
    <w:tmpl w:val="83F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E0B8E"/>
    <w:multiLevelType w:val="hybridMultilevel"/>
    <w:tmpl w:val="0BCAA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9A4B3A"/>
    <w:multiLevelType w:val="hybridMultilevel"/>
    <w:tmpl w:val="763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774CA"/>
    <w:multiLevelType w:val="hybridMultilevel"/>
    <w:tmpl w:val="3CD0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A83742"/>
    <w:multiLevelType w:val="hybridMultilevel"/>
    <w:tmpl w:val="0346F686"/>
    <w:lvl w:ilvl="0" w:tplc="2DF22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C45C6"/>
    <w:multiLevelType w:val="hybridMultilevel"/>
    <w:tmpl w:val="06E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440BA"/>
    <w:multiLevelType w:val="hybridMultilevel"/>
    <w:tmpl w:val="607CD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9946519"/>
    <w:multiLevelType w:val="hybridMultilevel"/>
    <w:tmpl w:val="E310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E927B9"/>
    <w:multiLevelType w:val="hybridMultilevel"/>
    <w:tmpl w:val="4C20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26D52"/>
    <w:multiLevelType w:val="hybridMultilevel"/>
    <w:tmpl w:val="5E5C6DA0"/>
    <w:lvl w:ilvl="0" w:tplc="8A822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127ED"/>
    <w:multiLevelType w:val="hybridMultilevel"/>
    <w:tmpl w:val="B13C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FF1F53"/>
    <w:multiLevelType w:val="hybridMultilevel"/>
    <w:tmpl w:val="937A3A46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533E5"/>
    <w:multiLevelType w:val="hybridMultilevel"/>
    <w:tmpl w:val="326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EC0519"/>
    <w:multiLevelType w:val="hybridMultilevel"/>
    <w:tmpl w:val="599885F6"/>
    <w:lvl w:ilvl="0" w:tplc="F07C8328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79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C3367"/>
    <w:multiLevelType w:val="hybridMultilevel"/>
    <w:tmpl w:val="14F43374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F2A89"/>
    <w:multiLevelType w:val="hybridMultilevel"/>
    <w:tmpl w:val="23F2608E"/>
    <w:lvl w:ilvl="0" w:tplc="8A82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E0D1C"/>
    <w:multiLevelType w:val="hybridMultilevel"/>
    <w:tmpl w:val="1CBCBBA4"/>
    <w:lvl w:ilvl="0" w:tplc="FD52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4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E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09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6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3"/>
  </w:num>
  <w:num w:numId="14">
    <w:abstractNumId w:val="28"/>
  </w:num>
  <w:num w:numId="15">
    <w:abstractNumId w:val="26"/>
  </w:num>
  <w:num w:numId="16">
    <w:abstractNumId w:val="32"/>
  </w:num>
  <w:num w:numId="17">
    <w:abstractNumId w:val="13"/>
  </w:num>
  <w:num w:numId="18">
    <w:abstractNumId w:val="29"/>
  </w:num>
  <w:num w:numId="19">
    <w:abstractNumId w:val="24"/>
  </w:num>
  <w:num w:numId="2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30"/>
  </w:num>
  <w:num w:numId="24">
    <w:abstractNumId w:val="17"/>
  </w:num>
  <w:num w:numId="25">
    <w:abstractNumId w:val="14"/>
  </w:num>
  <w:num w:numId="26">
    <w:abstractNumId w:val="19"/>
  </w:num>
  <w:num w:numId="27">
    <w:abstractNumId w:val="27"/>
  </w:num>
  <w:num w:numId="28">
    <w:abstractNumId w:val="25"/>
  </w:num>
  <w:num w:numId="29">
    <w:abstractNumId w:val="21"/>
  </w:num>
  <w:num w:numId="30">
    <w:abstractNumId w:val="10"/>
  </w:num>
  <w:num w:numId="31">
    <w:abstractNumId w:val="31"/>
  </w:num>
  <w:num w:numId="32">
    <w:abstractNumId w:val="20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5"/>
    <w:rsid w:val="00006E44"/>
    <w:rsid w:val="00020C5D"/>
    <w:rsid w:val="0002202C"/>
    <w:rsid w:val="000226F4"/>
    <w:rsid w:val="00051DB2"/>
    <w:rsid w:val="0006512E"/>
    <w:rsid w:val="000857F5"/>
    <w:rsid w:val="000915A4"/>
    <w:rsid w:val="000A7A18"/>
    <w:rsid w:val="000C3956"/>
    <w:rsid w:val="000C7387"/>
    <w:rsid w:val="000D3784"/>
    <w:rsid w:val="000E0389"/>
    <w:rsid w:val="00111969"/>
    <w:rsid w:val="00112715"/>
    <w:rsid w:val="001336DD"/>
    <w:rsid w:val="00135632"/>
    <w:rsid w:val="00135877"/>
    <w:rsid w:val="00142676"/>
    <w:rsid w:val="00151127"/>
    <w:rsid w:val="00152069"/>
    <w:rsid w:val="001535C4"/>
    <w:rsid w:val="00153858"/>
    <w:rsid w:val="00162D75"/>
    <w:rsid w:val="00173FD1"/>
    <w:rsid w:val="001767D6"/>
    <w:rsid w:val="0017786B"/>
    <w:rsid w:val="00177BD1"/>
    <w:rsid w:val="00184BF3"/>
    <w:rsid w:val="001A04E9"/>
    <w:rsid w:val="001B14DB"/>
    <w:rsid w:val="001B1E13"/>
    <w:rsid w:val="001B3C52"/>
    <w:rsid w:val="001C7AFC"/>
    <w:rsid w:val="001D61E1"/>
    <w:rsid w:val="001D73BD"/>
    <w:rsid w:val="001E50A4"/>
    <w:rsid w:val="001E5AFE"/>
    <w:rsid w:val="001E6A4D"/>
    <w:rsid w:val="001F2B6A"/>
    <w:rsid w:val="0020038F"/>
    <w:rsid w:val="00200FA0"/>
    <w:rsid w:val="00221290"/>
    <w:rsid w:val="002338DB"/>
    <w:rsid w:val="00235F2B"/>
    <w:rsid w:val="002569EB"/>
    <w:rsid w:val="0028005C"/>
    <w:rsid w:val="00287502"/>
    <w:rsid w:val="002917F6"/>
    <w:rsid w:val="00291C82"/>
    <w:rsid w:val="002A255D"/>
    <w:rsid w:val="002B2C04"/>
    <w:rsid w:val="002B423B"/>
    <w:rsid w:val="002C2167"/>
    <w:rsid w:val="002D1D6E"/>
    <w:rsid w:val="002D4AEC"/>
    <w:rsid w:val="002D5F01"/>
    <w:rsid w:val="002E004C"/>
    <w:rsid w:val="002F43E8"/>
    <w:rsid w:val="00302143"/>
    <w:rsid w:val="00313131"/>
    <w:rsid w:val="00317C39"/>
    <w:rsid w:val="00325C07"/>
    <w:rsid w:val="00336E1E"/>
    <w:rsid w:val="00356499"/>
    <w:rsid w:val="00361E07"/>
    <w:rsid w:val="00373D11"/>
    <w:rsid w:val="00374530"/>
    <w:rsid w:val="00383B82"/>
    <w:rsid w:val="003A0513"/>
    <w:rsid w:val="003A4DA7"/>
    <w:rsid w:val="003B7790"/>
    <w:rsid w:val="003C72CF"/>
    <w:rsid w:val="003E2F90"/>
    <w:rsid w:val="003F4048"/>
    <w:rsid w:val="003F6321"/>
    <w:rsid w:val="00401EBD"/>
    <w:rsid w:val="004168DC"/>
    <w:rsid w:val="00422CB4"/>
    <w:rsid w:val="00444F90"/>
    <w:rsid w:val="00446814"/>
    <w:rsid w:val="00446DC5"/>
    <w:rsid w:val="00451A5D"/>
    <w:rsid w:val="00455A18"/>
    <w:rsid w:val="00461FBD"/>
    <w:rsid w:val="00462EE7"/>
    <w:rsid w:val="00466B5D"/>
    <w:rsid w:val="0046757C"/>
    <w:rsid w:val="00481DD9"/>
    <w:rsid w:val="004932A5"/>
    <w:rsid w:val="004A76EF"/>
    <w:rsid w:val="004B6A81"/>
    <w:rsid w:val="004C437C"/>
    <w:rsid w:val="004C7165"/>
    <w:rsid w:val="004C7E22"/>
    <w:rsid w:val="004D4910"/>
    <w:rsid w:val="004D7AFB"/>
    <w:rsid w:val="004E7F31"/>
    <w:rsid w:val="004F3AC0"/>
    <w:rsid w:val="004F691D"/>
    <w:rsid w:val="00523C4E"/>
    <w:rsid w:val="00526B7E"/>
    <w:rsid w:val="005327B2"/>
    <w:rsid w:val="00534F13"/>
    <w:rsid w:val="005373F4"/>
    <w:rsid w:val="005417F5"/>
    <w:rsid w:val="00546B28"/>
    <w:rsid w:val="0054707B"/>
    <w:rsid w:val="005541E1"/>
    <w:rsid w:val="00554260"/>
    <w:rsid w:val="00566022"/>
    <w:rsid w:val="00576C0C"/>
    <w:rsid w:val="0059010B"/>
    <w:rsid w:val="0059379F"/>
    <w:rsid w:val="00597CA0"/>
    <w:rsid w:val="005B3F7E"/>
    <w:rsid w:val="005B4599"/>
    <w:rsid w:val="005B5D9E"/>
    <w:rsid w:val="005C2490"/>
    <w:rsid w:val="005C5953"/>
    <w:rsid w:val="005C7A50"/>
    <w:rsid w:val="005D4862"/>
    <w:rsid w:val="005D5B0F"/>
    <w:rsid w:val="005E16F5"/>
    <w:rsid w:val="005E1C9E"/>
    <w:rsid w:val="005E3995"/>
    <w:rsid w:val="0061168B"/>
    <w:rsid w:val="00617303"/>
    <w:rsid w:val="00621ED1"/>
    <w:rsid w:val="00623D63"/>
    <w:rsid w:val="00637E3B"/>
    <w:rsid w:val="00654617"/>
    <w:rsid w:val="00655741"/>
    <w:rsid w:val="006567D9"/>
    <w:rsid w:val="00664D4F"/>
    <w:rsid w:val="00667105"/>
    <w:rsid w:val="006676DE"/>
    <w:rsid w:val="0067336A"/>
    <w:rsid w:val="00673EE4"/>
    <w:rsid w:val="00675989"/>
    <w:rsid w:val="00694989"/>
    <w:rsid w:val="006A77F4"/>
    <w:rsid w:val="006A7EEE"/>
    <w:rsid w:val="006D14DC"/>
    <w:rsid w:val="006F5205"/>
    <w:rsid w:val="006F538E"/>
    <w:rsid w:val="00723546"/>
    <w:rsid w:val="00724225"/>
    <w:rsid w:val="00727BBE"/>
    <w:rsid w:val="00731C90"/>
    <w:rsid w:val="0074444F"/>
    <w:rsid w:val="00745805"/>
    <w:rsid w:val="00755F1D"/>
    <w:rsid w:val="00756A23"/>
    <w:rsid w:val="00764FC5"/>
    <w:rsid w:val="007705B4"/>
    <w:rsid w:val="007822CA"/>
    <w:rsid w:val="00791253"/>
    <w:rsid w:val="00795A27"/>
    <w:rsid w:val="00795AA0"/>
    <w:rsid w:val="007A443E"/>
    <w:rsid w:val="007B2034"/>
    <w:rsid w:val="007B3D71"/>
    <w:rsid w:val="007C0E43"/>
    <w:rsid w:val="007D2B66"/>
    <w:rsid w:val="007F56D2"/>
    <w:rsid w:val="00802B1C"/>
    <w:rsid w:val="00802C78"/>
    <w:rsid w:val="00806119"/>
    <w:rsid w:val="00807E3B"/>
    <w:rsid w:val="00817E65"/>
    <w:rsid w:val="00820B71"/>
    <w:rsid w:val="00827740"/>
    <w:rsid w:val="00831733"/>
    <w:rsid w:val="00834F71"/>
    <w:rsid w:val="0083783C"/>
    <w:rsid w:val="00850040"/>
    <w:rsid w:val="00862D45"/>
    <w:rsid w:val="0087227A"/>
    <w:rsid w:val="008774B3"/>
    <w:rsid w:val="00880869"/>
    <w:rsid w:val="00891BC7"/>
    <w:rsid w:val="0089325F"/>
    <w:rsid w:val="0089480B"/>
    <w:rsid w:val="00894EF0"/>
    <w:rsid w:val="008B13E3"/>
    <w:rsid w:val="008B2B01"/>
    <w:rsid w:val="008B2E84"/>
    <w:rsid w:val="008B42A3"/>
    <w:rsid w:val="008D4DD3"/>
    <w:rsid w:val="008D6FC0"/>
    <w:rsid w:val="008E0476"/>
    <w:rsid w:val="008E57A0"/>
    <w:rsid w:val="008E71E6"/>
    <w:rsid w:val="008F3292"/>
    <w:rsid w:val="009010DE"/>
    <w:rsid w:val="00905FD5"/>
    <w:rsid w:val="009066C0"/>
    <w:rsid w:val="00914846"/>
    <w:rsid w:val="00915826"/>
    <w:rsid w:val="00922B9E"/>
    <w:rsid w:val="00925B08"/>
    <w:rsid w:val="00941BDB"/>
    <w:rsid w:val="009553C0"/>
    <w:rsid w:val="0096138D"/>
    <w:rsid w:val="0096452D"/>
    <w:rsid w:val="00972DBD"/>
    <w:rsid w:val="0098345E"/>
    <w:rsid w:val="009A3EE4"/>
    <w:rsid w:val="009C29A9"/>
    <w:rsid w:val="009C317C"/>
    <w:rsid w:val="009C4021"/>
    <w:rsid w:val="009C4ABB"/>
    <w:rsid w:val="009C51AF"/>
    <w:rsid w:val="009D2DA4"/>
    <w:rsid w:val="009D591A"/>
    <w:rsid w:val="009E0BC1"/>
    <w:rsid w:val="009F5F21"/>
    <w:rsid w:val="00A232CD"/>
    <w:rsid w:val="00A42C20"/>
    <w:rsid w:val="00A55530"/>
    <w:rsid w:val="00A60A00"/>
    <w:rsid w:val="00A631FB"/>
    <w:rsid w:val="00A668E1"/>
    <w:rsid w:val="00A8079B"/>
    <w:rsid w:val="00A8263E"/>
    <w:rsid w:val="00A849CF"/>
    <w:rsid w:val="00A91202"/>
    <w:rsid w:val="00A9324E"/>
    <w:rsid w:val="00AA042A"/>
    <w:rsid w:val="00AA18F1"/>
    <w:rsid w:val="00AA3B83"/>
    <w:rsid w:val="00AB1DCD"/>
    <w:rsid w:val="00AB390B"/>
    <w:rsid w:val="00AB3EDD"/>
    <w:rsid w:val="00AC3994"/>
    <w:rsid w:val="00AE6C75"/>
    <w:rsid w:val="00B04045"/>
    <w:rsid w:val="00B1431C"/>
    <w:rsid w:val="00B22F00"/>
    <w:rsid w:val="00B31EFC"/>
    <w:rsid w:val="00B41C51"/>
    <w:rsid w:val="00B430B0"/>
    <w:rsid w:val="00B44A8D"/>
    <w:rsid w:val="00B639F8"/>
    <w:rsid w:val="00B641E5"/>
    <w:rsid w:val="00B67207"/>
    <w:rsid w:val="00B7094C"/>
    <w:rsid w:val="00B75150"/>
    <w:rsid w:val="00B81814"/>
    <w:rsid w:val="00B97179"/>
    <w:rsid w:val="00BB425B"/>
    <w:rsid w:val="00BE57FB"/>
    <w:rsid w:val="00BE5F43"/>
    <w:rsid w:val="00C001D4"/>
    <w:rsid w:val="00C01462"/>
    <w:rsid w:val="00C01B16"/>
    <w:rsid w:val="00C047D3"/>
    <w:rsid w:val="00C137C0"/>
    <w:rsid w:val="00C22423"/>
    <w:rsid w:val="00C266E6"/>
    <w:rsid w:val="00C313B0"/>
    <w:rsid w:val="00C36B79"/>
    <w:rsid w:val="00C45C6A"/>
    <w:rsid w:val="00C460DB"/>
    <w:rsid w:val="00C5423B"/>
    <w:rsid w:val="00C6084A"/>
    <w:rsid w:val="00C61D16"/>
    <w:rsid w:val="00C70526"/>
    <w:rsid w:val="00C71474"/>
    <w:rsid w:val="00C71AAD"/>
    <w:rsid w:val="00C8028A"/>
    <w:rsid w:val="00C87604"/>
    <w:rsid w:val="00C9474D"/>
    <w:rsid w:val="00CA011E"/>
    <w:rsid w:val="00CC3569"/>
    <w:rsid w:val="00CC7385"/>
    <w:rsid w:val="00CD04AA"/>
    <w:rsid w:val="00CD0E92"/>
    <w:rsid w:val="00CD2D44"/>
    <w:rsid w:val="00CE069D"/>
    <w:rsid w:val="00CE2225"/>
    <w:rsid w:val="00CF0C80"/>
    <w:rsid w:val="00D37972"/>
    <w:rsid w:val="00D47462"/>
    <w:rsid w:val="00D5489E"/>
    <w:rsid w:val="00D61239"/>
    <w:rsid w:val="00D767E7"/>
    <w:rsid w:val="00D85E28"/>
    <w:rsid w:val="00D95172"/>
    <w:rsid w:val="00DA11E8"/>
    <w:rsid w:val="00DA1836"/>
    <w:rsid w:val="00DA4C48"/>
    <w:rsid w:val="00DA5320"/>
    <w:rsid w:val="00DB3A39"/>
    <w:rsid w:val="00DB5B0B"/>
    <w:rsid w:val="00DC6CF4"/>
    <w:rsid w:val="00DD1119"/>
    <w:rsid w:val="00DE6CFA"/>
    <w:rsid w:val="00DF4AC3"/>
    <w:rsid w:val="00E22107"/>
    <w:rsid w:val="00E30829"/>
    <w:rsid w:val="00E324C7"/>
    <w:rsid w:val="00E35E0A"/>
    <w:rsid w:val="00E441F1"/>
    <w:rsid w:val="00E4794B"/>
    <w:rsid w:val="00E52485"/>
    <w:rsid w:val="00E702B7"/>
    <w:rsid w:val="00E74A91"/>
    <w:rsid w:val="00E856D4"/>
    <w:rsid w:val="00E93DBA"/>
    <w:rsid w:val="00EA19ED"/>
    <w:rsid w:val="00EA4AF4"/>
    <w:rsid w:val="00EB7D63"/>
    <w:rsid w:val="00EC34E4"/>
    <w:rsid w:val="00EC6733"/>
    <w:rsid w:val="00ED7C4F"/>
    <w:rsid w:val="00EE3E0C"/>
    <w:rsid w:val="00EE5922"/>
    <w:rsid w:val="00EE634D"/>
    <w:rsid w:val="00EE68D0"/>
    <w:rsid w:val="00EF0177"/>
    <w:rsid w:val="00EF2A99"/>
    <w:rsid w:val="00EF435D"/>
    <w:rsid w:val="00F16D10"/>
    <w:rsid w:val="00F241FF"/>
    <w:rsid w:val="00F34006"/>
    <w:rsid w:val="00F36F22"/>
    <w:rsid w:val="00F529B4"/>
    <w:rsid w:val="00F60AC7"/>
    <w:rsid w:val="00F60F0E"/>
    <w:rsid w:val="00F62356"/>
    <w:rsid w:val="00F71927"/>
    <w:rsid w:val="00F72D13"/>
    <w:rsid w:val="00F81452"/>
    <w:rsid w:val="00F858A0"/>
    <w:rsid w:val="00F86A65"/>
    <w:rsid w:val="00FA4221"/>
    <w:rsid w:val="00FA6A0A"/>
    <w:rsid w:val="00FB4C65"/>
    <w:rsid w:val="00FC13F5"/>
    <w:rsid w:val="00FC58AC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E71E6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E71E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E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E71E6"/>
    <w:rPr>
      <w:vertAlign w:val="superscript"/>
    </w:rPr>
  </w:style>
  <w:style w:type="paragraph" w:customStyle="1" w:styleId="TAP-TableHeaderCenter">
    <w:name w:val="TAP - Table Header [Center]"/>
    <w:basedOn w:val="Normal"/>
    <w:qFormat/>
    <w:rsid w:val="008E71E6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8E71E6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73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1B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D4A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B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B9E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rsid w:val="00745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E7"/>
    <w:rPr>
      <w:sz w:val="22"/>
      <w:szCs w:val="22"/>
    </w:rPr>
  </w:style>
  <w:style w:type="paragraph" w:styleId="ListBullet">
    <w:name w:val="List Bullet"/>
    <w:basedOn w:val="Normal"/>
    <w:rsid w:val="002C2167"/>
    <w:pPr>
      <w:numPr>
        <w:numId w:val="18"/>
      </w:numPr>
      <w:spacing w:after="140" w:line="257" w:lineRule="auto"/>
    </w:pPr>
    <w:rPr>
      <w:rFonts w:ascii="Times New Roman" w:hAnsi="Times New Roman"/>
      <w:sz w:val="20"/>
      <w:szCs w:val="24"/>
    </w:rPr>
  </w:style>
  <w:style w:type="paragraph" w:customStyle="1" w:styleId="Teaser">
    <w:name w:val="Teaser"/>
    <w:basedOn w:val="Normal"/>
    <w:rsid w:val="002C2167"/>
    <w:pPr>
      <w:spacing w:before="140" w:after="140" w:line="257" w:lineRule="auto"/>
    </w:pPr>
    <w:rPr>
      <w:rFonts w:ascii="Times New Roman" w:hAnsi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2C2167"/>
    <w:pPr>
      <w:spacing w:after="140" w:line="257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2167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C21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04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88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2F90"/>
    <w:rPr>
      <w:sz w:val="22"/>
      <w:szCs w:val="22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373D11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373D11"/>
    <w:rPr>
      <w:rFonts w:ascii="Arial" w:eastAsia="Times New Roman" w:hAnsi="Arial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7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11"/>
    <w:rPr>
      <w:sz w:val="22"/>
      <w:szCs w:val="22"/>
    </w:rPr>
  </w:style>
  <w:style w:type="paragraph" w:customStyle="1" w:styleId="TAP-BodyTextstandard">
    <w:name w:val="TAP - Body Text [standard]"/>
    <w:basedOn w:val="BodyText"/>
    <w:qFormat/>
    <w:rsid w:val="00373D11"/>
    <w:pPr>
      <w:spacing w:before="180" w:line="240" w:lineRule="auto"/>
    </w:pPr>
    <w:rPr>
      <w:rFonts w:eastAsia="Times New Roman"/>
      <w:color w:val="000000"/>
      <w:sz w:val="20"/>
      <w:szCs w:val="24"/>
    </w:rPr>
  </w:style>
  <w:style w:type="paragraph" w:customStyle="1" w:styleId="TAP-NumberLevel1">
    <w:name w:val="TAP - Number [Level 1]"/>
    <w:basedOn w:val="Normal"/>
    <w:qFormat/>
    <w:rsid w:val="00373D11"/>
    <w:pPr>
      <w:tabs>
        <w:tab w:val="left" w:pos="360"/>
      </w:tabs>
      <w:spacing w:after="80" w:line="240" w:lineRule="auto"/>
    </w:pPr>
    <w:rPr>
      <w:rFonts w:eastAsia="Times New Roman" w:cs="Calibri"/>
      <w:sz w:val="20"/>
      <w:szCs w:val="24"/>
    </w:rPr>
  </w:style>
  <w:style w:type="paragraph" w:customStyle="1" w:styleId="TAP-Heading3nonumber">
    <w:name w:val="TAP - Heading 3 [no number"/>
    <w:aliases w:val="no TOC]"/>
    <w:basedOn w:val="BodyText"/>
    <w:link w:val="TAP-Heading3nonumberChar"/>
    <w:qFormat/>
    <w:rsid w:val="00373D11"/>
    <w:pPr>
      <w:spacing w:before="240" w:after="0" w:line="240" w:lineRule="auto"/>
      <w:ind w:left="432" w:hanging="432"/>
    </w:pPr>
    <w:rPr>
      <w:rFonts w:ascii="Arial" w:eastAsia="Times New Roman" w:hAnsi="Arial"/>
      <w:b/>
      <w:color w:val="00B0F0"/>
      <w:sz w:val="20"/>
      <w:szCs w:val="24"/>
    </w:rPr>
  </w:style>
  <w:style w:type="character" w:customStyle="1" w:styleId="TAP-Heading3nonumberChar">
    <w:name w:val="TAP - Heading 3 [no number Char"/>
    <w:aliases w:val="no TOC] Char"/>
    <w:basedOn w:val="DefaultParagraphFont"/>
    <w:link w:val="TAP-Heading3nonumber"/>
    <w:rsid w:val="00373D11"/>
    <w:rPr>
      <w:rFonts w:ascii="Arial" w:eastAsia="Times New Roman" w:hAnsi="Arial"/>
      <w:b/>
      <w:color w:val="00B0F0"/>
      <w:szCs w:val="24"/>
    </w:rPr>
  </w:style>
  <w:style w:type="paragraph" w:customStyle="1" w:styleId="TAP-BulletLevel1">
    <w:name w:val="TAP - Bullet [Level 1]"/>
    <w:basedOn w:val="Normal"/>
    <w:qFormat/>
    <w:rsid w:val="00373D11"/>
    <w:pPr>
      <w:numPr>
        <w:numId w:val="33"/>
      </w:numPr>
      <w:spacing w:after="80" w:line="240" w:lineRule="auto"/>
    </w:pPr>
    <w:rPr>
      <w:rFonts w:eastAsia="Times New Roman" w:cs="Calibri"/>
      <w:sz w:val="20"/>
      <w:szCs w:val="24"/>
    </w:rPr>
  </w:style>
  <w:style w:type="paragraph" w:styleId="NoSpacing">
    <w:name w:val="No Spacing"/>
    <w:uiPriority w:val="1"/>
    <w:qFormat/>
    <w:rsid w:val="008E71E6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E71E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E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E71E6"/>
    <w:rPr>
      <w:vertAlign w:val="superscript"/>
    </w:rPr>
  </w:style>
  <w:style w:type="paragraph" w:customStyle="1" w:styleId="TAP-TableHeaderCenter">
    <w:name w:val="TAP - Table Header [Center]"/>
    <w:basedOn w:val="Normal"/>
    <w:qFormat/>
    <w:rsid w:val="008E71E6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8E71E6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D61D9A546046876A5E53C6B820C5" ma:contentTypeVersion="0" ma:contentTypeDescription="Create a new document." ma:contentTypeScope="" ma:versionID="3c13fe8c5efc77d20bd1800207acb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5C32-463D-4E24-A55D-8E8B6529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2769D6-186B-4DE7-866B-99C19D68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C0EBD-8E4B-4CF3-8293-881443C0F25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3C4B73-C7EB-47B0-9A48-01A08ADA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7.1: Financing Inventory Template</dc:title>
  <dc:subject>U.S. Department of Energy (DOE) Technical Assistance Program (TAP) Solution Center publishes this strategic energy planning guide for state and local governments.  This MS-Word document lists potential financing activities.  </dc:subject>
  <dc:creator/>
  <cp:lastModifiedBy>aglickso</cp:lastModifiedBy>
  <cp:revision>3</cp:revision>
  <cp:lastPrinted>2011-07-20T20:25:00Z</cp:lastPrinted>
  <dcterms:created xsi:type="dcterms:W3CDTF">2013-03-05T20:09:00Z</dcterms:created>
  <dcterms:modified xsi:type="dcterms:W3CDTF">2013-03-12T17:58:00Z</dcterms:modified>
</cp:coreProperties>
</file>