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431" w:rsidRPr="00700030" w:rsidRDefault="002477C8" w:rsidP="00700030">
      <w:pPr>
        <w:pStyle w:val="Heading1"/>
      </w:pPr>
      <w:r w:rsidRPr="00700030">
        <w:t>10</w:t>
      </w:r>
      <w:r w:rsidR="00F50A00">
        <w:t xml:space="preserve"> </w:t>
      </w:r>
      <w:r w:rsidR="00AC3431" w:rsidRPr="00700030">
        <w:t xml:space="preserve">Preliminary Assessment Review </w:t>
      </w:r>
      <w:r w:rsidR="0033773C">
        <w:t>FOR</w:t>
      </w:r>
      <w:r w:rsidR="00EE69B3" w:rsidRPr="00700030">
        <w:t xml:space="preserve"> </w:t>
      </w:r>
      <w:r w:rsidR="00AC3431" w:rsidRPr="00700030">
        <w:t>Federal ESPC</w:t>
      </w:r>
      <w:r w:rsidR="00EE69B3">
        <w:t>s</w:t>
      </w:r>
      <w:r w:rsidR="00AC3431" w:rsidRPr="00700030">
        <w:t xml:space="preserve"> </w:t>
      </w:r>
      <w:r w:rsidR="00F50A00" w:rsidRPr="00700030">
        <w:t xml:space="preserve">      </w:t>
      </w:r>
    </w:p>
    <w:p w:rsidR="00284BE6" w:rsidRDefault="00284BE6" w:rsidP="00284BE6">
      <w:pPr>
        <w:pStyle w:val="Heading2"/>
      </w:pPr>
      <w:r>
        <w:t>Template</w:t>
      </w:r>
    </w:p>
    <w:tbl>
      <w:tblPr>
        <w:tblW w:w="145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0"/>
        <w:gridCol w:w="1260"/>
        <w:gridCol w:w="1350"/>
        <w:gridCol w:w="1530"/>
        <w:gridCol w:w="4320"/>
        <w:gridCol w:w="1620"/>
      </w:tblGrid>
      <w:tr w:rsidR="00284BE6" w:rsidRPr="00700030" w:rsidTr="00187099">
        <w:tc>
          <w:tcPr>
            <w:tcW w:w="14580" w:type="dxa"/>
            <w:gridSpan w:val="6"/>
            <w:shd w:val="clear" w:color="auto" w:fill="auto"/>
          </w:tcPr>
          <w:p w:rsidR="00284BE6" w:rsidRPr="00D14D59" w:rsidRDefault="00284BE6" w:rsidP="00187099">
            <w:pPr>
              <w:ind w:left="0"/>
              <w:rPr>
                <w:b/>
              </w:rPr>
            </w:pPr>
            <w:r w:rsidRPr="00D14D59">
              <w:rPr>
                <w:b/>
                <w:smallCaps/>
              </w:rPr>
              <w:t>Note:</w:t>
            </w:r>
            <w:r w:rsidRPr="00D14D59">
              <w:rPr>
                <w:b/>
              </w:rPr>
              <w:t xml:space="preserve">  This form may be used for the review of multiple P</w:t>
            </w:r>
            <w:r>
              <w:rPr>
                <w:b/>
              </w:rPr>
              <w:t>A</w:t>
            </w:r>
            <w:r w:rsidRPr="00D14D59">
              <w:rPr>
                <w:b/>
              </w:rPr>
              <w:t>s</w:t>
            </w:r>
            <w:r>
              <w:rPr>
                <w:b/>
              </w:rPr>
              <w:t>, employing the optional R</w:t>
            </w:r>
            <w:r w:rsidRPr="00D14D59">
              <w:rPr>
                <w:b/>
              </w:rPr>
              <w:t>atings</w:t>
            </w:r>
            <w:r>
              <w:rPr>
                <w:b/>
              </w:rPr>
              <w:t xml:space="preserve"> column.</w:t>
            </w:r>
          </w:p>
        </w:tc>
      </w:tr>
      <w:tr w:rsidR="00284BE6" w:rsidRPr="00700030" w:rsidTr="00187099">
        <w:tc>
          <w:tcPr>
            <w:tcW w:w="4500" w:type="dxa"/>
            <w:shd w:val="clear" w:color="auto" w:fill="auto"/>
          </w:tcPr>
          <w:p w:rsidR="00284BE6" w:rsidRPr="00700030" w:rsidRDefault="00284BE6" w:rsidP="00187099"/>
        </w:tc>
        <w:tc>
          <w:tcPr>
            <w:tcW w:w="1260" w:type="dxa"/>
            <w:shd w:val="clear" w:color="auto" w:fill="auto"/>
          </w:tcPr>
          <w:p w:rsidR="00284BE6" w:rsidRPr="00700030" w:rsidRDefault="00284BE6" w:rsidP="00187099">
            <w:pPr>
              <w:ind w:left="0"/>
              <w:rPr>
                <w:b/>
              </w:rPr>
            </w:pPr>
            <w:r w:rsidRPr="00700030">
              <w:rPr>
                <w:b/>
              </w:rPr>
              <w:t>M&amp;V Option</w:t>
            </w:r>
          </w:p>
        </w:tc>
        <w:tc>
          <w:tcPr>
            <w:tcW w:w="1350" w:type="dxa"/>
            <w:shd w:val="clear" w:color="auto" w:fill="auto"/>
          </w:tcPr>
          <w:p w:rsidR="00284BE6" w:rsidRPr="00700030" w:rsidRDefault="00284BE6" w:rsidP="00187099">
            <w:pPr>
              <w:ind w:left="0"/>
              <w:rPr>
                <w:b/>
              </w:rPr>
            </w:pPr>
            <w:r w:rsidRPr="00700030">
              <w:rPr>
                <w:b/>
              </w:rPr>
              <w:t>Acceptable</w:t>
            </w:r>
          </w:p>
        </w:tc>
        <w:tc>
          <w:tcPr>
            <w:tcW w:w="1530" w:type="dxa"/>
            <w:shd w:val="clear" w:color="auto" w:fill="auto"/>
          </w:tcPr>
          <w:p w:rsidR="00284BE6" w:rsidRPr="00700030" w:rsidRDefault="00284BE6" w:rsidP="00187099">
            <w:pPr>
              <w:ind w:left="0"/>
              <w:rPr>
                <w:b/>
              </w:rPr>
            </w:pPr>
            <w:r w:rsidRPr="00700030">
              <w:rPr>
                <w:b/>
              </w:rPr>
              <w:t xml:space="preserve">Unacceptable </w:t>
            </w:r>
          </w:p>
        </w:tc>
        <w:tc>
          <w:tcPr>
            <w:tcW w:w="4320" w:type="dxa"/>
            <w:shd w:val="clear" w:color="auto" w:fill="auto"/>
          </w:tcPr>
          <w:p w:rsidR="00284BE6" w:rsidRPr="00700030" w:rsidRDefault="00284BE6" w:rsidP="00187099">
            <w:pPr>
              <w:ind w:left="0"/>
              <w:rPr>
                <w:b/>
              </w:rPr>
            </w:pPr>
            <w:r w:rsidRPr="00700030">
              <w:rPr>
                <w:b/>
              </w:rPr>
              <w:t>Notes/Comments</w:t>
            </w:r>
          </w:p>
        </w:tc>
        <w:tc>
          <w:tcPr>
            <w:tcW w:w="1620" w:type="dxa"/>
            <w:shd w:val="clear" w:color="auto" w:fill="auto"/>
          </w:tcPr>
          <w:p w:rsidR="00284BE6" w:rsidRDefault="00284BE6" w:rsidP="00187099">
            <w:pPr>
              <w:ind w:left="0"/>
              <w:rPr>
                <w:b/>
              </w:rPr>
            </w:pPr>
            <w:r w:rsidRPr="00700030">
              <w:rPr>
                <w:b/>
              </w:rPr>
              <w:t>Ratings</w:t>
            </w:r>
            <w:r>
              <w:rPr>
                <w:b/>
              </w:rPr>
              <w:t xml:space="preserve"> (Optional)</w:t>
            </w:r>
            <w:r w:rsidRPr="00700030">
              <w:rPr>
                <w:b/>
              </w:rPr>
              <w:t xml:space="preserve">  </w:t>
            </w:r>
          </w:p>
          <w:p w:rsidR="00284BE6" w:rsidRPr="00700030" w:rsidRDefault="00284BE6" w:rsidP="00187099">
            <w:pPr>
              <w:shd w:val="clear" w:color="auto" w:fill="8DB3E2"/>
              <w:ind w:left="0"/>
              <w:rPr>
                <w:b/>
              </w:rPr>
            </w:pPr>
            <w:r w:rsidRPr="00700030">
              <w:rPr>
                <w:b/>
              </w:rPr>
              <w:t>Exceptional</w:t>
            </w:r>
          </w:p>
          <w:p w:rsidR="00284BE6" w:rsidRPr="00700030" w:rsidRDefault="00284BE6" w:rsidP="00187099">
            <w:pPr>
              <w:shd w:val="clear" w:color="auto" w:fill="92D050"/>
              <w:ind w:left="0"/>
              <w:rPr>
                <w:b/>
              </w:rPr>
            </w:pPr>
            <w:r w:rsidRPr="00700030">
              <w:rPr>
                <w:b/>
              </w:rPr>
              <w:t>Good</w:t>
            </w:r>
          </w:p>
          <w:p w:rsidR="00284BE6" w:rsidRPr="00700030" w:rsidRDefault="00284BE6" w:rsidP="00187099">
            <w:pPr>
              <w:shd w:val="clear" w:color="auto" w:fill="FFFF00"/>
              <w:ind w:left="0"/>
              <w:rPr>
                <w:b/>
              </w:rPr>
            </w:pPr>
            <w:r w:rsidRPr="00700030">
              <w:rPr>
                <w:b/>
              </w:rPr>
              <w:t>Satisfactory</w:t>
            </w:r>
          </w:p>
          <w:p w:rsidR="00284BE6" w:rsidRDefault="00284BE6" w:rsidP="00187099">
            <w:pPr>
              <w:shd w:val="clear" w:color="auto" w:fill="FABF8F"/>
              <w:ind w:left="0"/>
              <w:rPr>
                <w:b/>
              </w:rPr>
            </w:pPr>
            <w:r w:rsidRPr="00700030">
              <w:rPr>
                <w:b/>
              </w:rPr>
              <w:t>Marginal</w:t>
            </w:r>
          </w:p>
          <w:p w:rsidR="00284BE6" w:rsidRPr="00700030" w:rsidRDefault="00284BE6" w:rsidP="00187099">
            <w:pPr>
              <w:ind w:left="0"/>
              <w:rPr>
                <w:b/>
              </w:rPr>
            </w:pPr>
            <w:r w:rsidRPr="00700030">
              <w:rPr>
                <w:b/>
                <w:shd w:val="clear" w:color="auto" w:fill="FF0000"/>
              </w:rPr>
              <w:t>Unacceptable</w:t>
            </w:r>
          </w:p>
        </w:tc>
      </w:tr>
      <w:tr w:rsidR="00284BE6" w:rsidRPr="00700030" w:rsidTr="00187099">
        <w:tc>
          <w:tcPr>
            <w:tcW w:w="14580" w:type="dxa"/>
            <w:gridSpan w:val="6"/>
            <w:shd w:val="clear" w:color="auto" w:fill="auto"/>
          </w:tcPr>
          <w:p w:rsidR="00284BE6" w:rsidRPr="00EE69B3" w:rsidRDefault="00284BE6" w:rsidP="00187099">
            <w:pPr>
              <w:spacing w:before="120" w:after="120"/>
              <w:ind w:left="0"/>
              <w:rPr>
                <w:b/>
              </w:rPr>
            </w:pPr>
            <w:r w:rsidRPr="00EE69B3">
              <w:rPr>
                <w:b/>
                <w:u w:val="single"/>
              </w:rPr>
              <w:t>Project Review</w:t>
            </w:r>
          </w:p>
        </w:tc>
      </w:tr>
      <w:tr w:rsidR="00284BE6" w:rsidRPr="00700030" w:rsidTr="00187099">
        <w:tc>
          <w:tcPr>
            <w:tcW w:w="4500" w:type="dxa"/>
            <w:shd w:val="clear" w:color="auto" w:fill="auto"/>
          </w:tcPr>
          <w:p w:rsidR="00284BE6" w:rsidRPr="00EE69B3" w:rsidRDefault="00284BE6" w:rsidP="00187099">
            <w:pPr>
              <w:numPr>
                <w:ilvl w:val="0"/>
                <w:numId w:val="17"/>
              </w:numPr>
              <w:rPr>
                <w:b/>
              </w:rPr>
            </w:pPr>
            <w:r w:rsidRPr="00EE69B3">
              <w:rPr>
                <w:b/>
              </w:rPr>
              <w:t>Financial Factors:</w:t>
            </w:r>
          </w:p>
        </w:tc>
        <w:tc>
          <w:tcPr>
            <w:tcW w:w="1260" w:type="dxa"/>
            <w:shd w:val="clear" w:color="auto" w:fill="auto"/>
          </w:tcPr>
          <w:p w:rsidR="00284BE6" w:rsidRPr="00700030" w:rsidRDefault="00284BE6" w:rsidP="00187099"/>
        </w:tc>
        <w:tc>
          <w:tcPr>
            <w:tcW w:w="1350" w:type="dxa"/>
            <w:shd w:val="clear" w:color="auto" w:fill="auto"/>
          </w:tcPr>
          <w:p w:rsidR="00284BE6" w:rsidRPr="00700030" w:rsidRDefault="00284BE6" w:rsidP="00187099"/>
        </w:tc>
        <w:tc>
          <w:tcPr>
            <w:tcW w:w="1530" w:type="dxa"/>
            <w:shd w:val="clear" w:color="auto" w:fill="auto"/>
          </w:tcPr>
          <w:p w:rsidR="00284BE6" w:rsidRPr="00700030" w:rsidRDefault="00284BE6" w:rsidP="00187099"/>
        </w:tc>
        <w:tc>
          <w:tcPr>
            <w:tcW w:w="4320" w:type="dxa"/>
            <w:shd w:val="clear" w:color="auto" w:fill="auto"/>
          </w:tcPr>
          <w:p w:rsidR="00284BE6" w:rsidRPr="00700030" w:rsidRDefault="00284BE6" w:rsidP="00187099"/>
        </w:tc>
        <w:tc>
          <w:tcPr>
            <w:tcW w:w="1620" w:type="dxa"/>
            <w:shd w:val="clear" w:color="auto" w:fill="auto"/>
          </w:tcPr>
          <w:p w:rsidR="00284BE6" w:rsidRPr="00700030" w:rsidRDefault="00284BE6" w:rsidP="00187099"/>
        </w:tc>
      </w:tr>
      <w:tr w:rsidR="00284BE6" w:rsidRPr="00700030" w:rsidTr="00187099">
        <w:tc>
          <w:tcPr>
            <w:tcW w:w="4500" w:type="dxa"/>
            <w:shd w:val="clear" w:color="auto" w:fill="auto"/>
          </w:tcPr>
          <w:p w:rsidR="00284BE6" w:rsidRPr="00EE69B3" w:rsidRDefault="00284BE6" w:rsidP="00187099">
            <w:pPr>
              <w:numPr>
                <w:ilvl w:val="0"/>
                <w:numId w:val="17"/>
              </w:numPr>
              <w:rPr>
                <w:b/>
              </w:rPr>
            </w:pPr>
            <w:r w:rsidRPr="00EE69B3">
              <w:rPr>
                <w:b/>
              </w:rPr>
              <w:t>Operational Factors:</w:t>
            </w:r>
          </w:p>
        </w:tc>
        <w:tc>
          <w:tcPr>
            <w:tcW w:w="1260" w:type="dxa"/>
            <w:shd w:val="clear" w:color="auto" w:fill="auto"/>
          </w:tcPr>
          <w:p w:rsidR="00284BE6" w:rsidRPr="00700030" w:rsidRDefault="00284BE6" w:rsidP="00187099"/>
        </w:tc>
        <w:tc>
          <w:tcPr>
            <w:tcW w:w="1350" w:type="dxa"/>
            <w:shd w:val="clear" w:color="auto" w:fill="auto"/>
          </w:tcPr>
          <w:p w:rsidR="00284BE6" w:rsidRPr="00700030" w:rsidRDefault="00284BE6" w:rsidP="00187099"/>
        </w:tc>
        <w:tc>
          <w:tcPr>
            <w:tcW w:w="1530" w:type="dxa"/>
            <w:shd w:val="clear" w:color="auto" w:fill="auto"/>
          </w:tcPr>
          <w:p w:rsidR="00284BE6" w:rsidRPr="00700030" w:rsidRDefault="00284BE6" w:rsidP="00187099"/>
        </w:tc>
        <w:tc>
          <w:tcPr>
            <w:tcW w:w="4320" w:type="dxa"/>
            <w:shd w:val="clear" w:color="auto" w:fill="auto"/>
          </w:tcPr>
          <w:p w:rsidR="00284BE6" w:rsidRPr="00700030" w:rsidRDefault="00284BE6" w:rsidP="00187099"/>
        </w:tc>
        <w:tc>
          <w:tcPr>
            <w:tcW w:w="1620" w:type="dxa"/>
            <w:shd w:val="clear" w:color="auto" w:fill="auto"/>
          </w:tcPr>
          <w:p w:rsidR="00284BE6" w:rsidRPr="00700030" w:rsidRDefault="00284BE6" w:rsidP="00187099"/>
        </w:tc>
      </w:tr>
      <w:tr w:rsidR="00284BE6" w:rsidRPr="00700030" w:rsidTr="00187099">
        <w:tc>
          <w:tcPr>
            <w:tcW w:w="4500" w:type="dxa"/>
            <w:shd w:val="clear" w:color="auto" w:fill="auto"/>
          </w:tcPr>
          <w:p w:rsidR="00284BE6" w:rsidRPr="00EE69B3" w:rsidRDefault="00284BE6" w:rsidP="00187099">
            <w:pPr>
              <w:numPr>
                <w:ilvl w:val="0"/>
                <w:numId w:val="17"/>
              </w:numPr>
              <w:rPr>
                <w:b/>
              </w:rPr>
            </w:pPr>
            <w:r w:rsidRPr="00EE69B3">
              <w:rPr>
                <w:b/>
              </w:rPr>
              <w:t>Performance Factors</w:t>
            </w:r>
            <w:r>
              <w:rPr>
                <w:b/>
              </w:rPr>
              <w:t>:</w:t>
            </w:r>
          </w:p>
        </w:tc>
        <w:tc>
          <w:tcPr>
            <w:tcW w:w="1260" w:type="dxa"/>
            <w:shd w:val="clear" w:color="auto" w:fill="auto"/>
          </w:tcPr>
          <w:p w:rsidR="00284BE6" w:rsidRPr="00700030" w:rsidRDefault="00284BE6" w:rsidP="00187099"/>
        </w:tc>
        <w:tc>
          <w:tcPr>
            <w:tcW w:w="1350" w:type="dxa"/>
            <w:shd w:val="clear" w:color="auto" w:fill="auto"/>
          </w:tcPr>
          <w:p w:rsidR="00284BE6" w:rsidRPr="00700030" w:rsidRDefault="00284BE6" w:rsidP="00187099"/>
        </w:tc>
        <w:tc>
          <w:tcPr>
            <w:tcW w:w="1530" w:type="dxa"/>
            <w:shd w:val="clear" w:color="auto" w:fill="auto"/>
          </w:tcPr>
          <w:p w:rsidR="00284BE6" w:rsidRPr="00700030" w:rsidRDefault="00284BE6" w:rsidP="00187099"/>
        </w:tc>
        <w:tc>
          <w:tcPr>
            <w:tcW w:w="4320" w:type="dxa"/>
            <w:shd w:val="clear" w:color="auto" w:fill="auto"/>
          </w:tcPr>
          <w:p w:rsidR="00284BE6" w:rsidRPr="00700030" w:rsidRDefault="00284BE6" w:rsidP="00187099"/>
        </w:tc>
        <w:tc>
          <w:tcPr>
            <w:tcW w:w="1620" w:type="dxa"/>
            <w:shd w:val="clear" w:color="auto" w:fill="auto"/>
          </w:tcPr>
          <w:p w:rsidR="00284BE6" w:rsidRPr="00700030" w:rsidRDefault="00284BE6" w:rsidP="00187099"/>
        </w:tc>
      </w:tr>
      <w:tr w:rsidR="00284BE6" w:rsidRPr="00700030" w:rsidTr="00187099">
        <w:tc>
          <w:tcPr>
            <w:tcW w:w="4500" w:type="dxa"/>
            <w:shd w:val="clear" w:color="auto" w:fill="auto"/>
          </w:tcPr>
          <w:p w:rsidR="00284BE6" w:rsidRPr="00700030" w:rsidRDefault="00284BE6" w:rsidP="00187099">
            <w:pPr>
              <w:numPr>
                <w:ilvl w:val="0"/>
                <w:numId w:val="17"/>
              </w:numPr>
            </w:pPr>
            <w:r w:rsidRPr="00700030">
              <w:rPr>
                <w:b/>
              </w:rPr>
              <w:t>Technical Approach</w:t>
            </w:r>
            <w:r>
              <w:rPr>
                <w:b/>
              </w:rPr>
              <w:t>:</w:t>
            </w:r>
          </w:p>
        </w:tc>
        <w:tc>
          <w:tcPr>
            <w:tcW w:w="1260" w:type="dxa"/>
            <w:shd w:val="clear" w:color="auto" w:fill="auto"/>
          </w:tcPr>
          <w:p w:rsidR="00284BE6" w:rsidRPr="00700030" w:rsidRDefault="00284BE6" w:rsidP="00187099"/>
        </w:tc>
        <w:tc>
          <w:tcPr>
            <w:tcW w:w="1350" w:type="dxa"/>
            <w:shd w:val="clear" w:color="auto" w:fill="auto"/>
          </w:tcPr>
          <w:p w:rsidR="00284BE6" w:rsidRPr="00700030" w:rsidRDefault="00284BE6" w:rsidP="00187099"/>
        </w:tc>
        <w:tc>
          <w:tcPr>
            <w:tcW w:w="1530" w:type="dxa"/>
            <w:shd w:val="clear" w:color="auto" w:fill="auto"/>
          </w:tcPr>
          <w:p w:rsidR="00284BE6" w:rsidRPr="00700030" w:rsidRDefault="00284BE6" w:rsidP="00187099"/>
        </w:tc>
        <w:tc>
          <w:tcPr>
            <w:tcW w:w="4320" w:type="dxa"/>
            <w:shd w:val="clear" w:color="auto" w:fill="auto"/>
          </w:tcPr>
          <w:p w:rsidR="00284BE6" w:rsidRPr="00700030" w:rsidRDefault="00284BE6" w:rsidP="00187099"/>
        </w:tc>
        <w:tc>
          <w:tcPr>
            <w:tcW w:w="1620" w:type="dxa"/>
            <w:shd w:val="clear" w:color="auto" w:fill="auto"/>
          </w:tcPr>
          <w:p w:rsidR="00284BE6" w:rsidRPr="00700030" w:rsidRDefault="00284BE6" w:rsidP="00187099">
            <w:pPr>
              <w:ind w:left="0"/>
            </w:pPr>
          </w:p>
        </w:tc>
      </w:tr>
      <w:tr w:rsidR="00284BE6" w:rsidRPr="00700030" w:rsidTr="00187099">
        <w:tc>
          <w:tcPr>
            <w:tcW w:w="14580" w:type="dxa"/>
            <w:gridSpan w:val="6"/>
            <w:shd w:val="clear" w:color="auto" w:fill="auto"/>
          </w:tcPr>
          <w:p w:rsidR="00284BE6" w:rsidRPr="00700030" w:rsidRDefault="00284BE6" w:rsidP="003257A1">
            <w:pPr>
              <w:spacing w:before="120" w:after="120"/>
              <w:ind w:left="0"/>
            </w:pPr>
            <w:r w:rsidRPr="00700030">
              <w:rPr>
                <w:b/>
                <w:u w:val="single"/>
              </w:rPr>
              <w:t xml:space="preserve">Technical Assessment </w:t>
            </w:r>
            <w:r w:rsidRPr="00EE69B3">
              <w:rPr>
                <w:i/>
              </w:rPr>
              <w:t>(</w:t>
            </w:r>
            <w:r w:rsidRPr="00700030">
              <w:rPr>
                <w:i/>
              </w:rPr>
              <w:t xml:space="preserve">overall compliance with </w:t>
            </w:r>
            <w:r w:rsidR="003257A1" w:rsidRPr="003257A1">
              <w:rPr>
                <w:i/>
              </w:rPr>
              <w:t xml:space="preserve">section </w:t>
            </w:r>
            <w:r w:rsidRPr="003257A1">
              <w:rPr>
                <w:i/>
              </w:rPr>
              <w:t>H.4</w:t>
            </w:r>
            <w:r w:rsidR="003257A1" w:rsidRPr="003257A1">
              <w:rPr>
                <w:i/>
              </w:rPr>
              <w:t xml:space="preserve"> of the DOE ESPC IDIQ</w:t>
            </w:r>
            <w:r w:rsidRPr="003257A1">
              <w:rPr>
                <w:i/>
              </w:rPr>
              <w:t>)</w:t>
            </w:r>
            <w:r w:rsidR="00B12EE5" w:rsidRPr="003257A1">
              <w:rPr>
                <w:b/>
              </w:rPr>
              <w:t xml:space="preserve">  </w:t>
            </w:r>
          </w:p>
        </w:tc>
      </w:tr>
      <w:tr w:rsidR="00284BE6" w:rsidRPr="00700030" w:rsidTr="00187099">
        <w:tc>
          <w:tcPr>
            <w:tcW w:w="4500" w:type="dxa"/>
            <w:shd w:val="clear" w:color="auto" w:fill="auto"/>
          </w:tcPr>
          <w:p w:rsidR="00284BE6" w:rsidRPr="00700030" w:rsidRDefault="00284BE6" w:rsidP="00187099">
            <w:pPr>
              <w:numPr>
                <w:ilvl w:val="0"/>
                <w:numId w:val="17"/>
              </w:numPr>
              <w:rPr>
                <w:i/>
              </w:rPr>
            </w:pPr>
            <w:r w:rsidRPr="00700030">
              <w:rPr>
                <w:b/>
              </w:rPr>
              <w:t>ECM Description</w:t>
            </w:r>
          </w:p>
        </w:tc>
        <w:tc>
          <w:tcPr>
            <w:tcW w:w="1260" w:type="dxa"/>
            <w:shd w:val="clear" w:color="auto" w:fill="auto"/>
          </w:tcPr>
          <w:p w:rsidR="00284BE6" w:rsidRPr="00700030" w:rsidRDefault="00284BE6" w:rsidP="00187099"/>
        </w:tc>
        <w:tc>
          <w:tcPr>
            <w:tcW w:w="1350" w:type="dxa"/>
            <w:shd w:val="clear" w:color="auto" w:fill="auto"/>
          </w:tcPr>
          <w:p w:rsidR="00284BE6" w:rsidRPr="00700030" w:rsidRDefault="00284BE6" w:rsidP="00187099"/>
        </w:tc>
        <w:tc>
          <w:tcPr>
            <w:tcW w:w="1530" w:type="dxa"/>
            <w:shd w:val="clear" w:color="auto" w:fill="auto"/>
          </w:tcPr>
          <w:p w:rsidR="00284BE6" w:rsidRPr="00700030" w:rsidRDefault="00284BE6" w:rsidP="00187099"/>
        </w:tc>
        <w:tc>
          <w:tcPr>
            <w:tcW w:w="4320" w:type="dxa"/>
            <w:shd w:val="clear" w:color="auto" w:fill="auto"/>
          </w:tcPr>
          <w:p w:rsidR="00284BE6" w:rsidRPr="00700030" w:rsidRDefault="00284BE6" w:rsidP="00187099"/>
        </w:tc>
        <w:tc>
          <w:tcPr>
            <w:tcW w:w="1620" w:type="dxa"/>
            <w:shd w:val="clear" w:color="auto" w:fill="auto"/>
          </w:tcPr>
          <w:p w:rsidR="00284BE6" w:rsidRPr="00700030" w:rsidRDefault="00284BE6" w:rsidP="00187099"/>
        </w:tc>
      </w:tr>
      <w:tr w:rsidR="00284BE6" w:rsidRPr="00700030" w:rsidTr="00187099">
        <w:tc>
          <w:tcPr>
            <w:tcW w:w="4500" w:type="dxa"/>
            <w:shd w:val="clear" w:color="auto" w:fill="auto"/>
          </w:tcPr>
          <w:p w:rsidR="00284BE6" w:rsidRPr="00700030" w:rsidRDefault="00284BE6" w:rsidP="00187099">
            <w:pPr>
              <w:ind w:left="0"/>
              <w:rPr>
                <w:i/>
              </w:rPr>
            </w:pPr>
            <w:r w:rsidRPr="00700030">
              <w:rPr>
                <w:i/>
              </w:rPr>
              <w:t xml:space="preserve">List each of the ECMs identified in the Preliminary Assessment.  Make review comments as to whether it is reasonable, acceptable, comprehensive, and provides a solution to the agency’s needs relative to its energy reduction goals.   </w:t>
            </w:r>
          </w:p>
        </w:tc>
        <w:tc>
          <w:tcPr>
            <w:tcW w:w="1260" w:type="dxa"/>
            <w:shd w:val="clear" w:color="auto" w:fill="auto"/>
          </w:tcPr>
          <w:p w:rsidR="00284BE6" w:rsidRPr="00700030" w:rsidRDefault="00284BE6" w:rsidP="00187099"/>
        </w:tc>
        <w:tc>
          <w:tcPr>
            <w:tcW w:w="1350" w:type="dxa"/>
            <w:shd w:val="clear" w:color="auto" w:fill="auto"/>
          </w:tcPr>
          <w:p w:rsidR="00284BE6" w:rsidRPr="00700030" w:rsidRDefault="00284BE6" w:rsidP="00187099"/>
        </w:tc>
        <w:tc>
          <w:tcPr>
            <w:tcW w:w="1530" w:type="dxa"/>
            <w:shd w:val="clear" w:color="auto" w:fill="auto"/>
          </w:tcPr>
          <w:p w:rsidR="00284BE6" w:rsidRPr="00700030" w:rsidRDefault="00284BE6" w:rsidP="00187099"/>
        </w:tc>
        <w:tc>
          <w:tcPr>
            <w:tcW w:w="4320" w:type="dxa"/>
            <w:shd w:val="clear" w:color="auto" w:fill="auto"/>
          </w:tcPr>
          <w:p w:rsidR="00284BE6" w:rsidRPr="00700030" w:rsidRDefault="00284BE6" w:rsidP="00187099"/>
        </w:tc>
        <w:tc>
          <w:tcPr>
            <w:tcW w:w="1620" w:type="dxa"/>
            <w:shd w:val="clear" w:color="auto" w:fill="auto"/>
          </w:tcPr>
          <w:p w:rsidR="00284BE6" w:rsidRPr="00700030" w:rsidRDefault="00284BE6" w:rsidP="00187099"/>
        </w:tc>
      </w:tr>
      <w:tr w:rsidR="00284BE6" w:rsidRPr="00700030" w:rsidTr="00187099">
        <w:tc>
          <w:tcPr>
            <w:tcW w:w="4500" w:type="dxa"/>
            <w:shd w:val="clear" w:color="auto" w:fill="auto"/>
          </w:tcPr>
          <w:p w:rsidR="00284BE6" w:rsidRPr="00700030" w:rsidRDefault="00284BE6" w:rsidP="00187099">
            <w:pPr>
              <w:numPr>
                <w:ilvl w:val="0"/>
                <w:numId w:val="17"/>
              </w:numPr>
              <w:rPr>
                <w:i/>
              </w:rPr>
            </w:pPr>
            <w:r w:rsidRPr="00700030">
              <w:rPr>
                <w:b/>
              </w:rPr>
              <w:t>M&amp;V Option/Approach</w:t>
            </w:r>
          </w:p>
        </w:tc>
        <w:tc>
          <w:tcPr>
            <w:tcW w:w="1260" w:type="dxa"/>
            <w:shd w:val="clear" w:color="auto" w:fill="auto"/>
          </w:tcPr>
          <w:p w:rsidR="00284BE6" w:rsidRPr="00700030" w:rsidRDefault="00284BE6" w:rsidP="00187099"/>
        </w:tc>
        <w:tc>
          <w:tcPr>
            <w:tcW w:w="1350" w:type="dxa"/>
            <w:shd w:val="clear" w:color="auto" w:fill="auto"/>
          </w:tcPr>
          <w:p w:rsidR="00284BE6" w:rsidRPr="00700030" w:rsidRDefault="00284BE6" w:rsidP="00187099"/>
        </w:tc>
        <w:tc>
          <w:tcPr>
            <w:tcW w:w="1530" w:type="dxa"/>
            <w:shd w:val="clear" w:color="auto" w:fill="auto"/>
          </w:tcPr>
          <w:p w:rsidR="00284BE6" w:rsidRPr="00700030" w:rsidRDefault="00284BE6" w:rsidP="00187099"/>
        </w:tc>
        <w:tc>
          <w:tcPr>
            <w:tcW w:w="4320" w:type="dxa"/>
            <w:shd w:val="clear" w:color="auto" w:fill="auto"/>
          </w:tcPr>
          <w:p w:rsidR="00284BE6" w:rsidRPr="00700030" w:rsidRDefault="00284BE6" w:rsidP="00187099"/>
        </w:tc>
        <w:tc>
          <w:tcPr>
            <w:tcW w:w="1620" w:type="dxa"/>
            <w:shd w:val="clear" w:color="auto" w:fill="auto"/>
          </w:tcPr>
          <w:p w:rsidR="00284BE6" w:rsidRPr="00700030" w:rsidRDefault="00284BE6" w:rsidP="00187099"/>
        </w:tc>
      </w:tr>
      <w:tr w:rsidR="00284BE6" w:rsidRPr="00700030" w:rsidTr="00187099">
        <w:tc>
          <w:tcPr>
            <w:tcW w:w="4500" w:type="dxa"/>
            <w:shd w:val="clear" w:color="auto" w:fill="auto"/>
          </w:tcPr>
          <w:p w:rsidR="00284BE6" w:rsidRPr="00700030" w:rsidRDefault="00284BE6" w:rsidP="00187099">
            <w:pPr>
              <w:ind w:left="0"/>
              <w:rPr>
                <w:i/>
              </w:rPr>
            </w:pPr>
            <w:r w:rsidRPr="00700030">
              <w:rPr>
                <w:i/>
              </w:rPr>
              <w:t xml:space="preserve">Identify the M&amp;V option for each of the ECMs and determine whether the offered option is appropriate for the ECM and whether the M&amp;V option costs reflects the relationship of costs/savings  </w:t>
            </w:r>
          </w:p>
        </w:tc>
        <w:tc>
          <w:tcPr>
            <w:tcW w:w="1260" w:type="dxa"/>
            <w:shd w:val="clear" w:color="auto" w:fill="auto"/>
          </w:tcPr>
          <w:p w:rsidR="00284BE6" w:rsidRPr="00700030" w:rsidRDefault="00284BE6" w:rsidP="00187099"/>
        </w:tc>
        <w:tc>
          <w:tcPr>
            <w:tcW w:w="1350" w:type="dxa"/>
            <w:shd w:val="clear" w:color="auto" w:fill="auto"/>
          </w:tcPr>
          <w:p w:rsidR="00284BE6" w:rsidRPr="00700030" w:rsidRDefault="00284BE6" w:rsidP="00187099"/>
        </w:tc>
        <w:tc>
          <w:tcPr>
            <w:tcW w:w="1530" w:type="dxa"/>
            <w:shd w:val="clear" w:color="auto" w:fill="auto"/>
          </w:tcPr>
          <w:p w:rsidR="00284BE6" w:rsidRPr="00700030" w:rsidRDefault="00284BE6" w:rsidP="00187099"/>
        </w:tc>
        <w:tc>
          <w:tcPr>
            <w:tcW w:w="4320" w:type="dxa"/>
            <w:shd w:val="clear" w:color="auto" w:fill="auto"/>
          </w:tcPr>
          <w:p w:rsidR="00284BE6" w:rsidRPr="00700030" w:rsidRDefault="00284BE6" w:rsidP="00187099"/>
        </w:tc>
        <w:tc>
          <w:tcPr>
            <w:tcW w:w="1620" w:type="dxa"/>
            <w:shd w:val="clear" w:color="auto" w:fill="auto"/>
          </w:tcPr>
          <w:p w:rsidR="00284BE6" w:rsidRPr="00700030" w:rsidRDefault="00284BE6" w:rsidP="00187099"/>
        </w:tc>
      </w:tr>
      <w:tr w:rsidR="00284BE6" w:rsidRPr="00700030" w:rsidTr="00187099">
        <w:tc>
          <w:tcPr>
            <w:tcW w:w="14580" w:type="dxa"/>
            <w:gridSpan w:val="6"/>
            <w:shd w:val="clear" w:color="auto" w:fill="auto"/>
          </w:tcPr>
          <w:p w:rsidR="00284BE6" w:rsidRPr="00700030" w:rsidRDefault="00284BE6" w:rsidP="00187099">
            <w:pPr>
              <w:numPr>
                <w:ilvl w:val="0"/>
                <w:numId w:val="17"/>
              </w:numPr>
            </w:pPr>
            <w:r w:rsidRPr="00700030">
              <w:rPr>
                <w:b/>
              </w:rPr>
              <w:t>Risk, Responsibility and Performance Matrix</w:t>
            </w:r>
            <w:r w:rsidR="003257A1">
              <w:rPr>
                <w:b/>
              </w:rPr>
              <w:t xml:space="preserve"> (RRPM)</w:t>
            </w:r>
          </w:p>
        </w:tc>
      </w:tr>
      <w:tr w:rsidR="00284BE6" w:rsidRPr="00700030" w:rsidTr="00187099">
        <w:tc>
          <w:tcPr>
            <w:tcW w:w="4500" w:type="dxa"/>
            <w:shd w:val="clear" w:color="auto" w:fill="auto"/>
          </w:tcPr>
          <w:p w:rsidR="00284BE6" w:rsidRPr="00700030" w:rsidRDefault="00284BE6" w:rsidP="003257A1">
            <w:pPr>
              <w:ind w:left="0"/>
              <w:rPr>
                <w:i/>
              </w:rPr>
            </w:pPr>
            <w:r w:rsidRPr="00700030">
              <w:t xml:space="preserve"> </w:t>
            </w:r>
            <w:r w:rsidRPr="00700030">
              <w:rPr>
                <w:i/>
              </w:rPr>
              <w:t xml:space="preserve">Identify any component in each </w:t>
            </w:r>
            <w:r w:rsidRPr="003257A1">
              <w:rPr>
                <w:i/>
              </w:rPr>
              <w:t>of the RRPM</w:t>
            </w:r>
            <w:r w:rsidR="00B07BA4" w:rsidRPr="003257A1">
              <w:rPr>
                <w:i/>
              </w:rPr>
              <w:t xml:space="preserve"> </w:t>
            </w:r>
            <w:r w:rsidRPr="003257A1">
              <w:rPr>
                <w:i/>
              </w:rPr>
              <w:t>that will affect responsibility</w:t>
            </w:r>
            <w:r w:rsidRPr="00700030">
              <w:rPr>
                <w:i/>
              </w:rPr>
              <w:t xml:space="preserve"> and costs to the Government</w:t>
            </w:r>
          </w:p>
        </w:tc>
        <w:tc>
          <w:tcPr>
            <w:tcW w:w="1260" w:type="dxa"/>
            <w:shd w:val="clear" w:color="auto" w:fill="auto"/>
          </w:tcPr>
          <w:p w:rsidR="00284BE6" w:rsidRPr="00700030" w:rsidRDefault="00284BE6" w:rsidP="00187099"/>
        </w:tc>
        <w:tc>
          <w:tcPr>
            <w:tcW w:w="1350" w:type="dxa"/>
            <w:shd w:val="clear" w:color="auto" w:fill="auto"/>
          </w:tcPr>
          <w:p w:rsidR="00284BE6" w:rsidRPr="00700030" w:rsidRDefault="00284BE6" w:rsidP="00187099"/>
        </w:tc>
        <w:tc>
          <w:tcPr>
            <w:tcW w:w="1530" w:type="dxa"/>
            <w:shd w:val="clear" w:color="auto" w:fill="auto"/>
          </w:tcPr>
          <w:p w:rsidR="00284BE6" w:rsidRPr="00700030" w:rsidRDefault="00284BE6" w:rsidP="00187099"/>
        </w:tc>
        <w:tc>
          <w:tcPr>
            <w:tcW w:w="4320" w:type="dxa"/>
            <w:shd w:val="clear" w:color="auto" w:fill="auto"/>
          </w:tcPr>
          <w:p w:rsidR="00284BE6" w:rsidRPr="00700030" w:rsidRDefault="00284BE6" w:rsidP="00187099"/>
        </w:tc>
        <w:tc>
          <w:tcPr>
            <w:tcW w:w="1620" w:type="dxa"/>
            <w:shd w:val="clear" w:color="auto" w:fill="auto"/>
          </w:tcPr>
          <w:p w:rsidR="00284BE6" w:rsidRPr="00700030" w:rsidRDefault="00284BE6" w:rsidP="00187099"/>
        </w:tc>
      </w:tr>
    </w:tbl>
    <w:p w:rsidR="00284BE6" w:rsidRDefault="00284BE6" w:rsidP="00284BE6">
      <w:pPr>
        <w:pStyle w:val="Heading3"/>
      </w:pPr>
      <w:r>
        <w:lastRenderedPageBreak/>
        <w:t>Guide to Ratings</w:t>
      </w:r>
    </w:p>
    <w:p w:rsidR="00284BE6" w:rsidRDefault="00284BE6" w:rsidP="00284BE6">
      <w:pPr>
        <w:ind w:left="0"/>
        <w:rPr>
          <w:b/>
        </w:rPr>
      </w:pPr>
    </w:p>
    <w:p w:rsidR="00284BE6" w:rsidRPr="00700030" w:rsidRDefault="00284BE6" w:rsidP="00284BE6">
      <w:pPr>
        <w:numPr>
          <w:ilvl w:val="0"/>
          <w:numId w:val="15"/>
        </w:numPr>
        <w:shd w:val="clear" w:color="auto" w:fill="8DB3E2"/>
        <w:rPr>
          <w:b/>
        </w:rPr>
      </w:pPr>
      <w:r w:rsidRPr="00700030">
        <w:rPr>
          <w:b/>
        </w:rPr>
        <w:t>Exceptional</w:t>
      </w:r>
    </w:p>
    <w:p w:rsidR="00284BE6" w:rsidRPr="00700030" w:rsidRDefault="00284BE6" w:rsidP="00284BE6">
      <w:pPr>
        <w:ind w:left="360"/>
      </w:pPr>
      <w:proofErr w:type="spellStart"/>
      <w:r w:rsidRPr="00700030">
        <w:t>Offeror</w:t>
      </w:r>
      <w:proofErr w:type="spellEnd"/>
      <w:r w:rsidRPr="00700030">
        <w:t xml:space="preserve"> demonstrates excellent understanding of requirements and approach</w:t>
      </w:r>
      <w:r w:rsidR="00B07BA4">
        <w:t>;</w:t>
      </w:r>
      <w:r w:rsidRPr="00700030">
        <w:t xml:space="preserve"> will meet or significantly exceed performance capability standards.  Has exceptional strengths and there are no weaknesses or deficiencies. Risk of unsuccessful contract performance is extremely low.</w:t>
      </w:r>
    </w:p>
    <w:p w:rsidR="00284BE6" w:rsidRPr="00700030" w:rsidRDefault="00284BE6" w:rsidP="00284BE6">
      <w:pPr>
        <w:numPr>
          <w:ilvl w:val="0"/>
          <w:numId w:val="15"/>
        </w:numPr>
        <w:shd w:val="clear" w:color="auto" w:fill="92D050"/>
        <w:rPr>
          <w:b/>
        </w:rPr>
      </w:pPr>
      <w:r w:rsidRPr="00700030">
        <w:rPr>
          <w:b/>
        </w:rPr>
        <w:t>Good</w:t>
      </w:r>
    </w:p>
    <w:p w:rsidR="00284BE6" w:rsidRPr="00700030" w:rsidRDefault="00284BE6" w:rsidP="00284BE6">
      <w:pPr>
        <w:ind w:left="360"/>
      </w:pPr>
      <w:proofErr w:type="spellStart"/>
      <w:r w:rsidRPr="00700030">
        <w:t>Offeror</w:t>
      </w:r>
      <w:proofErr w:type="spellEnd"/>
      <w:r w:rsidRPr="00700030">
        <w:t xml:space="preserve"> demonstrates a good understanding of requirements and demonstrates an approach that exceeds performance or capability standards. </w:t>
      </w:r>
      <w:r>
        <w:t>O</w:t>
      </w:r>
      <w:r w:rsidRPr="00700030">
        <w:t>ne or more strengths</w:t>
      </w:r>
      <w:r>
        <w:t xml:space="preserve">; </w:t>
      </w:r>
      <w:r w:rsidRPr="00700030">
        <w:t>weaknesses, if any, are minor and are more than offset by strengths. Risk of unsuccessful performance is very low.</w:t>
      </w:r>
    </w:p>
    <w:p w:rsidR="00284BE6" w:rsidRPr="00700030" w:rsidRDefault="00284BE6" w:rsidP="00284BE6">
      <w:pPr>
        <w:numPr>
          <w:ilvl w:val="0"/>
          <w:numId w:val="15"/>
        </w:numPr>
        <w:shd w:val="clear" w:color="auto" w:fill="FFFF00"/>
        <w:rPr>
          <w:b/>
        </w:rPr>
      </w:pPr>
      <w:r w:rsidRPr="00700030">
        <w:rPr>
          <w:b/>
        </w:rPr>
        <w:t>Satisfactory</w:t>
      </w:r>
    </w:p>
    <w:p w:rsidR="00284BE6" w:rsidRPr="00700030" w:rsidRDefault="00284BE6" w:rsidP="00284BE6">
      <w:pPr>
        <w:ind w:left="360"/>
      </w:pPr>
      <w:proofErr w:type="spellStart"/>
      <w:r w:rsidRPr="00700030">
        <w:t>Offeror</w:t>
      </w:r>
      <w:proofErr w:type="spellEnd"/>
      <w:r w:rsidRPr="00700030">
        <w:t xml:space="preserve"> demonstrates acceptable understanding of requirements and approach that meets performance or capability standards</w:t>
      </w:r>
      <w:r>
        <w:t>; a</w:t>
      </w:r>
      <w:r w:rsidRPr="00700030">
        <w:t xml:space="preserve">cceptable solution and few or no strengths. </w:t>
      </w:r>
      <w:proofErr w:type="gramStart"/>
      <w:r>
        <w:t>Low r</w:t>
      </w:r>
      <w:r w:rsidRPr="00700030">
        <w:t>isk of unsuccessful performance.</w:t>
      </w:r>
      <w:proofErr w:type="gramEnd"/>
    </w:p>
    <w:p w:rsidR="00284BE6" w:rsidRDefault="00284BE6" w:rsidP="00284BE6">
      <w:pPr>
        <w:numPr>
          <w:ilvl w:val="0"/>
          <w:numId w:val="15"/>
        </w:numPr>
        <w:shd w:val="clear" w:color="auto" w:fill="FABF8F"/>
        <w:rPr>
          <w:b/>
        </w:rPr>
      </w:pPr>
      <w:r w:rsidRPr="00700030">
        <w:rPr>
          <w:b/>
        </w:rPr>
        <w:t>Marginal</w:t>
      </w:r>
    </w:p>
    <w:p w:rsidR="00284BE6" w:rsidRPr="00700030" w:rsidRDefault="00284BE6" w:rsidP="00284BE6">
      <w:pPr>
        <w:ind w:left="360"/>
      </w:pPr>
      <w:proofErr w:type="spellStart"/>
      <w:r w:rsidRPr="00700030">
        <w:t>Offeror</w:t>
      </w:r>
      <w:proofErr w:type="spellEnd"/>
      <w:r w:rsidRPr="00700030">
        <w:t xml:space="preserve"> </w:t>
      </w:r>
      <w:r w:rsidR="0033773C" w:rsidRPr="00700030">
        <w:t xml:space="preserve">demonstrates </w:t>
      </w:r>
      <w:r w:rsidR="0033773C">
        <w:t>limited</w:t>
      </w:r>
      <w:r w:rsidR="00B07BA4">
        <w:t xml:space="preserve"> </w:t>
      </w:r>
      <w:r w:rsidRPr="00700030">
        <w:t>understanding of requirements and approach that only marginally meets performance of capability standards. The proposal has weaknesses that are not offset by strengths. The risk of unsuccessful contract performance is moderate.</w:t>
      </w:r>
    </w:p>
    <w:p w:rsidR="00284BE6" w:rsidRPr="00EE69B3" w:rsidRDefault="00284BE6" w:rsidP="00284BE6">
      <w:pPr>
        <w:numPr>
          <w:ilvl w:val="0"/>
          <w:numId w:val="15"/>
        </w:numPr>
        <w:shd w:val="clear" w:color="auto" w:fill="FF0000"/>
        <w:rPr>
          <w:b/>
          <w:highlight w:val="red"/>
        </w:rPr>
      </w:pPr>
      <w:r w:rsidRPr="00EE69B3">
        <w:rPr>
          <w:b/>
          <w:highlight w:val="red"/>
        </w:rPr>
        <w:t xml:space="preserve">Unacceptable </w:t>
      </w:r>
    </w:p>
    <w:p w:rsidR="00284BE6" w:rsidRPr="00700030" w:rsidRDefault="00284BE6" w:rsidP="00284BE6">
      <w:pPr>
        <w:ind w:left="360"/>
      </w:pPr>
      <w:proofErr w:type="spellStart"/>
      <w:r w:rsidRPr="00700030">
        <w:t>Offeror</w:t>
      </w:r>
      <w:proofErr w:type="spellEnd"/>
      <w:r w:rsidRPr="00700030">
        <w:t xml:space="preserve"> fails to meet performance or capability standards. Requirements can only be met with major changes to the proposal. </w:t>
      </w:r>
      <w:r>
        <w:t>N</w:t>
      </w:r>
      <w:r w:rsidRPr="00700030">
        <w:t>umerous weaknesses and deficiencies</w:t>
      </w:r>
      <w:r>
        <w:t xml:space="preserve"> contribute to a high</w:t>
      </w:r>
      <w:r w:rsidRPr="00700030">
        <w:t xml:space="preserve"> risk of unsuccessful performance.</w:t>
      </w:r>
    </w:p>
    <w:p w:rsidR="00284BE6" w:rsidRDefault="00284BE6" w:rsidP="00284BE6">
      <w:pPr>
        <w:pStyle w:val="Default"/>
      </w:pPr>
    </w:p>
    <w:p w:rsidR="00284BE6" w:rsidRDefault="00284BE6" w:rsidP="00284BE6">
      <w:pPr>
        <w:pStyle w:val="Default"/>
        <w:sectPr w:rsidR="00284BE6" w:rsidSect="00531FB1">
          <w:footerReference w:type="default" r:id="rId8"/>
          <w:pgSz w:w="16340" w:h="12240" w:orient="landscape"/>
          <w:pgMar w:top="864" w:right="1166" w:bottom="576" w:left="662" w:header="720" w:footer="288" w:gutter="0"/>
          <w:cols w:space="720"/>
          <w:noEndnote/>
          <w:docGrid w:linePitch="299"/>
        </w:sectPr>
      </w:pPr>
    </w:p>
    <w:p w:rsidR="00200CC5" w:rsidRPr="00700030" w:rsidRDefault="00497412" w:rsidP="00700030">
      <w:pPr>
        <w:pStyle w:val="Heading2"/>
      </w:pPr>
      <w:r>
        <w:lastRenderedPageBreak/>
        <w:t>INSTRUCTIONS</w:t>
      </w:r>
    </w:p>
    <w:p w:rsidR="004B609C" w:rsidRPr="00700030" w:rsidRDefault="004B609C" w:rsidP="00700030">
      <w:pPr>
        <w:spacing w:before="120" w:after="120" w:line="276" w:lineRule="auto"/>
        <w:ind w:left="0"/>
        <w:rPr>
          <w:rFonts w:eastAsia="Times New Roman"/>
          <w:lang w:bidi="en-US"/>
        </w:rPr>
      </w:pPr>
      <w:r w:rsidRPr="00700030">
        <w:rPr>
          <w:rFonts w:eastAsia="Times New Roman"/>
          <w:b/>
          <w:smallCaps/>
          <w:lang w:bidi="en-US"/>
        </w:rPr>
        <w:t>Note:</w:t>
      </w:r>
      <w:r w:rsidRPr="00700030">
        <w:rPr>
          <w:rFonts w:eastAsia="Times New Roman"/>
          <w:lang w:bidi="en-US"/>
        </w:rPr>
        <w:t xml:space="preserve"> This review strategy may be used for a single or for multiple Preliminary Assessment reviews</w:t>
      </w:r>
    </w:p>
    <w:p w:rsidR="00AC3431" w:rsidRPr="00700030" w:rsidRDefault="00AC3431" w:rsidP="00700030">
      <w:pPr>
        <w:spacing w:before="120" w:after="120" w:line="276" w:lineRule="auto"/>
        <w:ind w:left="0"/>
        <w:rPr>
          <w:rFonts w:eastAsia="Times New Roman"/>
          <w:lang w:bidi="en-US"/>
        </w:rPr>
      </w:pPr>
      <w:r w:rsidRPr="00700030">
        <w:rPr>
          <w:rFonts w:eastAsia="Times New Roman"/>
          <w:lang w:bidi="en-US"/>
        </w:rPr>
        <w:t xml:space="preserve">The agency should take the following steps in preparation for review of the </w:t>
      </w:r>
      <w:r w:rsidR="004B609C" w:rsidRPr="00700030">
        <w:rPr>
          <w:rFonts w:eastAsia="Times New Roman"/>
          <w:lang w:bidi="en-US"/>
        </w:rPr>
        <w:t>P</w:t>
      </w:r>
      <w:r w:rsidRPr="00700030">
        <w:rPr>
          <w:rFonts w:eastAsia="Times New Roman"/>
          <w:lang w:bidi="en-US"/>
        </w:rPr>
        <w:t xml:space="preserve">reliminary </w:t>
      </w:r>
      <w:r w:rsidR="004B609C" w:rsidRPr="00700030">
        <w:rPr>
          <w:rFonts w:eastAsia="Times New Roman"/>
          <w:lang w:bidi="en-US"/>
        </w:rPr>
        <w:t>A</w:t>
      </w:r>
      <w:r w:rsidRPr="00700030">
        <w:rPr>
          <w:rFonts w:eastAsia="Times New Roman"/>
          <w:lang w:bidi="en-US"/>
        </w:rPr>
        <w:t xml:space="preserve">ssessment: </w:t>
      </w:r>
    </w:p>
    <w:p w:rsidR="00AC3431" w:rsidRPr="00700030" w:rsidRDefault="00AC3431" w:rsidP="00EE69B3">
      <w:pPr>
        <w:numPr>
          <w:ilvl w:val="0"/>
          <w:numId w:val="16"/>
        </w:numPr>
        <w:spacing w:before="120" w:after="120" w:line="276" w:lineRule="auto"/>
        <w:rPr>
          <w:rFonts w:eastAsia="Times New Roman"/>
          <w:lang w:bidi="en-US"/>
        </w:rPr>
      </w:pPr>
      <w:r w:rsidRPr="00700030">
        <w:rPr>
          <w:rFonts w:eastAsia="Times New Roman"/>
          <w:lang w:bidi="en-US"/>
        </w:rPr>
        <w:t xml:space="preserve">Identify the agency review team prior to receiving the assessment (to include the site technical person, the site </w:t>
      </w:r>
      <w:r w:rsidR="00432376">
        <w:rPr>
          <w:rFonts w:eastAsia="Times New Roman"/>
          <w:lang w:bidi="en-US"/>
        </w:rPr>
        <w:t>contracting officer (</w:t>
      </w:r>
      <w:r w:rsidRPr="00700030">
        <w:rPr>
          <w:rFonts w:eastAsia="Times New Roman"/>
          <w:lang w:bidi="en-US"/>
        </w:rPr>
        <w:t>CO</w:t>
      </w:r>
      <w:r w:rsidR="00432376">
        <w:rPr>
          <w:rFonts w:eastAsia="Times New Roman"/>
          <w:lang w:bidi="en-US"/>
        </w:rPr>
        <w:t>)</w:t>
      </w:r>
      <w:r w:rsidRPr="00700030">
        <w:rPr>
          <w:rFonts w:eastAsia="Times New Roman"/>
          <w:lang w:bidi="en-US"/>
        </w:rPr>
        <w:t xml:space="preserve">, and other agency/site people as necessary). </w:t>
      </w:r>
    </w:p>
    <w:p w:rsidR="00C61BDC" w:rsidRPr="00700030" w:rsidRDefault="00AC3431" w:rsidP="00EE69B3">
      <w:pPr>
        <w:numPr>
          <w:ilvl w:val="0"/>
          <w:numId w:val="16"/>
        </w:numPr>
        <w:spacing w:before="120" w:after="120" w:line="276" w:lineRule="auto"/>
        <w:rPr>
          <w:rFonts w:eastAsia="Times New Roman"/>
          <w:lang w:bidi="en-US"/>
        </w:rPr>
      </w:pPr>
      <w:r w:rsidRPr="00700030">
        <w:rPr>
          <w:rFonts w:eastAsia="Times New Roman"/>
          <w:lang w:bidi="en-US"/>
        </w:rPr>
        <w:t xml:space="preserve">Consider requesting informal, preliminary information on the </w:t>
      </w:r>
      <w:r w:rsidR="004B609C" w:rsidRPr="00700030">
        <w:rPr>
          <w:rFonts w:eastAsia="Times New Roman"/>
          <w:lang w:bidi="en-US"/>
        </w:rPr>
        <w:t>P</w:t>
      </w:r>
      <w:r w:rsidRPr="00700030">
        <w:rPr>
          <w:rFonts w:eastAsia="Times New Roman"/>
          <w:lang w:bidi="en-US"/>
        </w:rPr>
        <w:t xml:space="preserve">reliminary </w:t>
      </w:r>
      <w:r w:rsidR="004B609C" w:rsidRPr="00700030">
        <w:rPr>
          <w:rFonts w:eastAsia="Times New Roman"/>
          <w:lang w:bidi="en-US"/>
        </w:rPr>
        <w:t>A</w:t>
      </w:r>
      <w:r w:rsidRPr="00700030">
        <w:rPr>
          <w:rFonts w:eastAsia="Times New Roman"/>
          <w:lang w:bidi="en-US"/>
        </w:rPr>
        <w:t xml:space="preserve">ssessment content (perhaps just an early version of some/all of the </w:t>
      </w:r>
      <w:r w:rsidR="00C61BDC" w:rsidRPr="00700030">
        <w:rPr>
          <w:rFonts w:eastAsia="Times New Roman"/>
          <w:lang w:bidi="en-US"/>
        </w:rPr>
        <w:t>T</w:t>
      </w:r>
      <w:r w:rsidRPr="00700030">
        <w:rPr>
          <w:rFonts w:eastAsia="Times New Roman"/>
          <w:lang w:bidi="en-US"/>
        </w:rPr>
        <w:t xml:space="preserve">O schedules) for discussions before the written </w:t>
      </w:r>
      <w:r w:rsidR="004B609C" w:rsidRPr="00700030">
        <w:rPr>
          <w:rFonts w:eastAsia="Times New Roman"/>
          <w:lang w:bidi="en-US"/>
        </w:rPr>
        <w:t>A</w:t>
      </w:r>
      <w:r w:rsidRPr="00700030">
        <w:rPr>
          <w:rFonts w:eastAsia="Times New Roman"/>
          <w:lang w:bidi="en-US"/>
        </w:rPr>
        <w:t xml:space="preserve">ssessment is finalized. If mutually agreeable, this step can improve the suitability of the </w:t>
      </w:r>
      <w:r w:rsidR="004B609C" w:rsidRPr="00700030">
        <w:rPr>
          <w:rFonts w:eastAsia="Times New Roman"/>
          <w:lang w:bidi="en-US"/>
        </w:rPr>
        <w:t>P</w:t>
      </w:r>
      <w:r w:rsidRPr="00700030">
        <w:rPr>
          <w:rFonts w:eastAsia="Times New Roman"/>
          <w:lang w:bidi="en-US"/>
        </w:rPr>
        <w:t xml:space="preserve">reliminary </w:t>
      </w:r>
      <w:r w:rsidR="004B609C" w:rsidRPr="00700030">
        <w:rPr>
          <w:rFonts w:eastAsia="Times New Roman"/>
          <w:lang w:bidi="en-US"/>
        </w:rPr>
        <w:t>A</w:t>
      </w:r>
      <w:r w:rsidRPr="00700030">
        <w:rPr>
          <w:rFonts w:eastAsia="Times New Roman"/>
          <w:lang w:bidi="en-US"/>
        </w:rPr>
        <w:t xml:space="preserve">ssessment. </w:t>
      </w:r>
    </w:p>
    <w:p w:rsidR="00C61BDC" w:rsidRPr="00700030" w:rsidRDefault="00F1224A" w:rsidP="00700030">
      <w:pPr>
        <w:pStyle w:val="Heading3"/>
      </w:pPr>
      <w:r w:rsidRPr="00700030">
        <w:t xml:space="preserve">ECM Review </w:t>
      </w:r>
    </w:p>
    <w:p w:rsidR="00AC3431" w:rsidRPr="00700030" w:rsidRDefault="00AC3431" w:rsidP="00056D85">
      <w:pPr>
        <w:pStyle w:val="Default"/>
        <w:spacing w:before="120" w:after="120"/>
        <w:rPr>
          <w:rFonts w:ascii="Calibri" w:hAnsi="Calibri"/>
          <w:sz w:val="22"/>
          <w:szCs w:val="22"/>
        </w:rPr>
      </w:pPr>
      <w:r w:rsidRPr="00700030">
        <w:rPr>
          <w:rFonts w:ascii="Calibri" w:hAnsi="Calibri"/>
          <w:sz w:val="22"/>
          <w:szCs w:val="22"/>
        </w:rPr>
        <w:t>Review the (standard) criteria to be used in evaluating the assessment</w:t>
      </w:r>
      <w:r w:rsidR="00056D85">
        <w:rPr>
          <w:rFonts w:ascii="Calibri" w:hAnsi="Calibri"/>
          <w:sz w:val="22"/>
          <w:szCs w:val="22"/>
        </w:rPr>
        <w:t xml:space="preserve">, including the following criteria for </w:t>
      </w:r>
      <w:r w:rsidR="00432376">
        <w:rPr>
          <w:rFonts w:ascii="Calibri" w:hAnsi="Calibri"/>
          <w:sz w:val="22"/>
          <w:szCs w:val="22"/>
        </w:rPr>
        <w:t>energy conservation measure (</w:t>
      </w:r>
      <w:r w:rsidRPr="00700030">
        <w:rPr>
          <w:rFonts w:ascii="Calibri" w:hAnsi="Calibri"/>
          <w:sz w:val="22"/>
          <w:szCs w:val="22"/>
        </w:rPr>
        <w:t>ECM</w:t>
      </w:r>
      <w:r w:rsidR="00432376">
        <w:rPr>
          <w:rFonts w:ascii="Calibri" w:hAnsi="Calibri"/>
          <w:sz w:val="22"/>
          <w:szCs w:val="22"/>
        </w:rPr>
        <w:t>) d</w:t>
      </w:r>
      <w:r w:rsidRPr="00700030">
        <w:rPr>
          <w:rFonts w:ascii="Calibri" w:hAnsi="Calibri"/>
          <w:sz w:val="22"/>
          <w:szCs w:val="22"/>
        </w:rPr>
        <w:t xml:space="preserve">escriptions and </w:t>
      </w:r>
      <w:r w:rsidR="00432376">
        <w:rPr>
          <w:rFonts w:ascii="Calibri" w:hAnsi="Calibri"/>
          <w:sz w:val="22"/>
          <w:szCs w:val="22"/>
        </w:rPr>
        <w:t>p</w:t>
      </w:r>
      <w:r w:rsidRPr="00700030">
        <w:rPr>
          <w:rFonts w:ascii="Calibri" w:hAnsi="Calibri"/>
          <w:sz w:val="22"/>
          <w:szCs w:val="22"/>
        </w:rPr>
        <w:t xml:space="preserve">rojected </w:t>
      </w:r>
      <w:r w:rsidR="00432376">
        <w:rPr>
          <w:rFonts w:ascii="Calibri" w:hAnsi="Calibri"/>
          <w:sz w:val="22"/>
          <w:szCs w:val="22"/>
        </w:rPr>
        <w:t>e</w:t>
      </w:r>
      <w:r w:rsidRPr="00700030">
        <w:rPr>
          <w:rFonts w:ascii="Calibri" w:hAnsi="Calibri"/>
          <w:sz w:val="22"/>
          <w:szCs w:val="22"/>
        </w:rPr>
        <w:t xml:space="preserve">nergy </w:t>
      </w:r>
      <w:r w:rsidR="00432376">
        <w:rPr>
          <w:rFonts w:ascii="Calibri" w:hAnsi="Calibri"/>
          <w:sz w:val="22"/>
          <w:szCs w:val="22"/>
        </w:rPr>
        <w:t>s</w:t>
      </w:r>
      <w:r w:rsidRPr="00700030">
        <w:rPr>
          <w:rFonts w:ascii="Calibri" w:hAnsi="Calibri"/>
          <w:sz w:val="22"/>
          <w:szCs w:val="22"/>
        </w:rPr>
        <w:t>avings</w:t>
      </w:r>
      <w:r w:rsidR="00736082" w:rsidRPr="00700030">
        <w:rPr>
          <w:rFonts w:ascii="Calibri" w:hAnsi="Calibri"/>
          <w:sz w:val="22"/>
          <w:szCs w:val="22"/>
        </w:rPr>
        <w:t>:</w:t>
      </w:r>
      <w:r w:rsidRPr="00700030">
        <w:rPr>
          <w:rFonts w:ascii="Calibri" w:hAnsi="Calibri"/>
          <w:sz w:val="22"/>
          <w:szCs w:val="22"/>
        </w:rPr>
        <w:t xml:space="preserve"> </w:t>
      </w:r>
    </w:p>
    <w:p w:rsidR="00AC3431" w:rsidRPr="00700030" w:rsidRDefault="00AC3431" w:rsidP="00700030">
      <w:pPr>
        <w:pStyle w:val="Default"/>
        <w:numPr>
          <w:ilvl w:val="2"/>
          <w:numId w:val="1"/>
        </w:numPr>
        <w:spacing w:before="120" w:after="120"/>
        <w:ind w:left="360"/>
        <w:rPr>
          <w:rFonts w:ascii="Calibri" w:hAnsi="Calibri"/>
          <w:sz w:val="22"/>
          <w:szCs w:val="22"/>
        </w:rPr>
      </w:pPr>
      <w:r w:rsidRPr="00700030">
        <w:rPr>
          <w:rFonts w:ascii="Calibri" w:hAnsi="Calibri"/>
          <w:sz w:val="22"/>
          <w:szCs w:val="22"/>
        </w:rPr>
        <w:t xml:space="preserve">Degree to which the ECM package is reasonable, acceptable, comprehensive, and provides </w:t>
      </w:r>
      <w:r w:rsidR="004B609C" w:rsidRPr="00700030">
        <w:rPr>
          <w:rFonts w:ascii="Calibri" w:hAnsi="Calibri"/>
          <w:sz w:val="22"/>
          <w:szCs w:val="22"/>
        </w:rPr>
        <w:t xml:space="preserve">a </w:t>
      </w:r>
      <w:r w:rsidRPr="00700030">
        <w:rPr>
          <w:rFonts w:ascii="Calibri" w:hAnsi="Calibri"/>
          <w:sz w:val="22"/>
          <w:szCs w:val="22"/>
        </w:rPr>
        <w:t xml:space="preserve">solution to </w:t>
      </w:r>
      <w:r w:rsidR="004B609C" w:rsidRPr="00700030">
        <w:rPr>
          <w:rFonts w:ascii="Calibri" w:hAnsi="Calibri"/>
          <w:sz w:val="22"/>
          <w:szCs w:val="22"/>
        </w:rPr>
        <w:tab/>
      </w:r>
      <w:r w:rsidRPr="00700030">
        <w:rPr>
          <w:rFonts w:ascii="Calibri" w:hAnsi="Calibri"/>
          <w:sz w:val="22"/>
          <w:szCs w:val="22"/>
        </w:rPr>
        <w:t>government needs</w:t>
      </w:r>
      <w:r w:rsidR="00C61BDC" w:rsidRPr="00700030">
        <w:rPr>
          <w:rFonts w:ascii="Calibri" w:hAnsi="Calibri"/>
          <w:sz w:val="22"/>
          <w:szCs w:val="22"/>
        </w:rPr>
        <w:t xml:space="preserve">.  </w:t>
      </w:r>
      <w:r w:rsidRPr="00700030">
        <w:rPr>
          <w:rFonts w:ascii="Calibri" w:hAnsi="Calibri"/>
          <w:sz w:val="22"/>
          <w:szCs w:val="22"/>
        </w:rPr>
        <w:t xml:space="preserve"> </w:t>
      </w:r>
    </w:p>
    <w:p w:rsidR="00F1224A" w:rsidRPr="00432376" w:rsidRDefault="00AC3431" w:rsidP="00432376">
      <w:pPr>
        <w:numPr>
          <w:ilvl w:val="0"/>
          <w:numId w:val="16"/>
        </w:numPr>
        <w:spacing w:before="120" w:after="120" w:line="276" w:lineRule="auto"/>
        <w:rPr>
          <w:rFonts w:eastAsia="Times New Roman"/>
          <w:lang w:bidi="en-US"/>
        </w:rPr>
      </w:pPr>
      <w:r w:rsidRPr="00432376">
        <w:rPr>
          <w:rFonts w:eastAsia="Times New Roman"/>
          <w:lang w:bidi="en-US"/>
        </w:rPr>
        <w:t xml:space="preserve">Reasonableness of energy and </w:t>
      </w:r>
      <w:r w:rsidR="00432376" w:rsidRPr="00432376">
        <w:rPr>
          <w:rFonts w:eastAsia="Times New Roman"/>
          <w:lang w:bidi="en-US"/>
        </w:rPr>
        <w:t>operations and maintenance (</w:t>
      </w:r>
      <w:r w:rsidRPr="00432376">
        <w:rPr>
          <w:rFonts w:eastAsia="Times New Roman"/>
          <w:lang w:bidi="en-US"/>
        </w:rPr>
        <w:t>O&amp;M</w:t>
      </w:r>
      <w:r w:rsidR="00432376" w:rsidRPr="00432376">
        <w:rPr>
          <w:rFonts w:eastAsia="Times New Roman"/>
          <w:lang w:bidi="en-US"/>
        </w:rPr>
        <w:t>)</w:t>
      </w:r>
      <w:r w:rsidRPr="00432376">
        <w:rPr>
          <w:rFonts w:eastAsia="Times New Roman"/>
          <w:lang w:bidi="en-US"/>
        </w:rPr>
        <w:t xml:space="preserve"> savings and adequacy of backup</w:t>
      </w:r>
      <w:r w:rsidR="00432376" w:rsidRPr="00432376">
        <w:rPr>
          <w:rFonts w:eastAsia="Times New Roman"/>
          <w:lang w:bidi="en-US"/>
        </w:rPr>
        <w:t xml:space="preserve"> </w:t>
      </w:r>
      <w:r w:rsidRPr="00432376">
        <w:rPr>
          <w:rFonts w:eastAsia="Times New Roman"/>
          <w:lang w:bidi="en-US"/>
        </w:rPr>
        <w:t xml:space="preserve">assumptions and analysis. </w:t>
      </w:r>
    </w:p>
    <w:p w:rsidR="00F1224A" w:rsidRPr="00700030" w:rsidRDefault="00AC3431" w:rsidP="00700030">
      <w:pPr>
        <w:pStyle w:val="Heading3"/>
      </w:pPr>
      <w:r w:rsidRPr="00700030">
        <w:t>Risk/Responsibility Matrix</w:t>
      </w:r>
    </w:p>
    <w:p w:rsidR="0003119C" w:rsidRPr="00700030" w:rsidRDefault="00AC3431" w:rsidP="00700030">
      <w:pPr>
        <w:pStyle w:val="Default"/>
        <w:spacing w:before="120" w:after="120"/>
        <w:rPr>
          <w:rFonts w:ascii="Calibri" w:hAnsi="Calibri"/>
          <w:sz w:val="22"/>
          <w:szCs w:val="22"/>
        </w:rPr>
      </w:pPr>
      <w:r w:rsidRPr="00700030">
        <w:rPr>
          <w:rFonts w:ascii="Calibri" w:hAnsi="Calibri"/>
          <w:sz w:val="22"/>
          <w:szCs w:val="22"/>
        </w:rPr>
        <w:t xml:space="preserve">Are the government and </w:t>
      </w:r>
      <w:r w:rsidR="00432376" w:rsidRPr="00432376">
        <w:rPr>
          <w:rFonts w:ascii="Calibri" w:hAnsi="Calibri"/>
          <w:sz w:val="22"/>
          <w:szCs w:val="22"/>
        </w:rPr>
        <w:t>energy service company (ESCO)</w:t>
      </w:r>
      <w:r w:rsidRPr="00700030">
        <w:rPr>
          <w:rFonts w:ascii="Calibri" w:hAnsi="Calibri"/>
          <w:sz w:val="22"/>
          <w:szCs w:val="22"/>
        </w:rPr>
        <w:t xml:space="preserve"> risks and responsibilities</w:t>
      </w:r>
      <w:r w:rsidR="00F1224A" w:rsidRPr="00700030">
        <w:rPr>
          <w:rFonts w:ascii="Calibri" w:hAnsi="Calibri"/>
          <w:sz w:val="22"/>
          <w:szCs w:val="22"/>
        </w:rPr>
        <w:t xml:space="preserve"> </w:t>
      </w:r>
      <w:r w:rsidRPr="00700030">
        <w:rPr>
          <w:rFonts w:ascii="Calibri" w:hAnsi="Calibri"/>
          <w:sz w:val="22"/>
          <w:szCs w:val="22"/>
        </w:rPr>
        <w:t>clearly described</w:t>
      </w:r>
      <w:r w:rsidR="00C71587">
        <w:rPr>
          <w:rFonts w:ascii="Calibri" w:hAnsi="Calibri"/>
          <w:sz w:val="22"/>
          <w:szCs w:val="22"/>
        </w:rPr>
        <w:t xml:space="preserve">, </w:t>
      </w:r>
      <w:r w:rsidRPr="00700030">
        <w:rPr>
          <w:rFonts w:ascii="Calibri" w:hAnsi="Calibri"/>
          <w:sz w:val="22"/>
          <w:szCs w:val="22"/>
        </w:rPr>
        <w:t>allocated</w:t>
      </w:r>
      <w:r w:rsidR="00C71587">
        <w:rPr>
          <w:rFonts w:ascii="Calibri" w:hAnsi="Calibri"/>
          <w:sz w:val="22"/>
          <w:szCs w:val="22"/>
        </w:rPr>
        <w:t xml:space="preserve">, and </w:t>
      </w:r>
      <w:r w:rsidRPr="00700030">
        <w:rPr>
          <w:rFonts w:ascii="Calibri" w:hAnsi="Calibri"/>
          <w:sz w:val="22"/>
          <w:szCs w:val="22"/>
        </w:rPr>
        <w:t xml:space="preserve">appropriate? </w:t>
      </w:r>
    </w:p>
    <w:p w:rsidR="00F1224A" w:rsidRPr="00700030" w:rsidRDefault="00F1224A" w:rsidP="00700030">
      <w:pPr>
        <w:pStyle w:val="Default"/>
        <w:spacing w:before="120" w:after="120"/>
        <w:rPr>
          <w:rFonts w:ascii="Calibri" w:hAnsi="Calibri"/>
          <w:sz w:val="22"/>
          <w:szCs w:val="22"/>
        </w:rPr>
      </w:pPr>
      <w:r w:rsidRPr="00056D85">
        <w:rPr>
          <w:rFonts w:ascii="Calibri" w:hAnsi="Calibri"/>
          <w:b/>
          <w:sz w:val="22"/>
          <w:szCs w:val="22"/>
        </w:rPr>
        <w:t xml:space="preserve">Financial </w:t>
      </w:r>
      <w:r w:rsidR="00DA1270" w:rsidRPr="00056D85">
        <w:rPr>
          <w:rFonts w:ascii="Calibri" w:hAnsi="Calibri"/>
          <w:b/>
          <w:sz w:val="22"/>
          <w:szCs w:val="22"/>
        </w:rPr>
        <w:t>Factors</w:t>
      </w:r>
      <w:r w:rsidR="00056D85">
        <w:rPr>
          <w:rFonts w:ascii="Calibri" w:hAnsi="Calibri"/>
          <w:b/>
          <w:sz w:val="22"/>
          <w:szCs w:val="22"/>
        </w:rPr>
        <w:t>:</w:t>
      </w:r>
      <w:r w:rsidRPr="00700030">
        <w:rPr>
          <w:rFonts w:ascii="Calibri" w:hAnsi="Calibri"/>
          <w:sz w:val="22"/>
          <w:szCs w:val="22"/>
        </w:rPr>
        <w:t xml:space="preserve"> Have the financial components of the</w:t>
      </w:r>
      <w:r w:rsidR="00432376">
        <w:rPr>
          <w:rFonts w:ascii="Calibri" w:hAnsi="Calibri"/>
          <w:sz w:val="22"/>
          <w:szCs w:val="22"/>
        </w:rPr>
        <w:t xml:space="preserve"> Risk/Responsibility Matrix</w:t>
      </w:r>
      <w:r w:rsidRPr="00700030">
        <w:rPr>
          <w:rFonts w:ascii="Calibri" w:hAnsi="Calibri"/>
          <w:sz w:val="22"/>
          <w:szCs w:val="22"/>
        </w:rPr>
        <w:t xml:space="preserve"> </w:t>
      </w:r>
      <w:r w:rsidR="00432376">
        <w:rPr>
          <w:rFonts w:ascii="Calibri" w:hAnsi="Calibri"/>
          <w:sz w:val="22"/>
          <w:szCs w:val="22"/>
        </w:rPr>
        <w:t>(</w:t>
      </w:r>
      <w:r w:rsidRPr="00700030">
        <w:rPr>
          <w:rFonts w:ascii="Calibri" w:hAnsi="Calibri"/>
          <w:sz w:val="22"/>
          <w:szCs w:val="22"/>
        </w:rPr>
        <w:t>RRPM</w:t>
      </w:r>
      <w:r w:rsidR="00432376">
        <w:rPr>
          <w:rFonts w:ascii="Calibri" w:hAnsi="Calibri"/>
          <w:sz w:val="22"/>
          <w:szCs w:val="22"/>
        </w:rPr>
        <w:t>)</w:t>
      </w:r>
      <w:r w:rsidRPr="00700030">
        <w:rPr>
          <w:rFonts w:ascii="Calibri" w:hAnsi="Calibri"/>
          <w:sz w:val="22"/>
          <w:szCs w:val="22"/>
        </w:rPr>
        <w:t xml:space="preserve"> been logically allocated? </w:t>
      </w:r>
      <w:r w:rsidR="00DA1270" w:rsidRPr="00700030">
        <w:rPr>
          <w:rFonts w:ascii="Calibri" w:hAnsi="Calibri"/>
          <w:sz w:val="22"/>
          <w:szCs w:val="22"/>
        </w:rPr>
        <w:t>Are there any financial risks</w:t>
      </w:r>
      <w:r w:rsidRPr="00700030">
        <w:rPr>
          <w:rFonts w:ascii="Calibri" w:hAnsi="Calibri"/>
          <w:sz w:val="22"/>
          <w:szCs w:val="22"/>
        </w:rPr>
        <w:t xml:space="preserve"> to the agency? If so are they acceptable and supportable risks? Consider each of these components when conducting a rev</w:t>
      </w:r>
      <w:r w:rsidR="00DA1270" w:rsidRPr="00700030">
        <w:rPr>
          <w:rFonts w:ascii="Calibri" w:hAnsi="Calibri"/>
          <w:sz w:val="22"/>
          <w:szCs w:val="22"/>
        </w:rPr>
        <w:t>iew of this section of the RRPM:</w:t>
      </w:r>
    </w:p>
    <w:p w:rsidR="00432376" w:rsidRDefault="00432376" w:rsidP="00056D85">
      <w:pPr>
        <w:pStyle w:val="Default"/>
        <w:numPr>
          <w:ilvl w:val="0"/>
          <w:numId w:val="14"/>
        </w:numPr>
        <w:spacing w:before="120" w:after="120"/>
        <w:rPr>
          <w:rFonts w:ascii="Calibri" w:hAnsi="Calibri"/>
          <w:sz w:val="22"/>
          <w:szCs w:val="22"/>
        </w:rPr>
        <w:sectPr w:rsidR="00432376" w:rsidSect="007D098D">
          <w:footerReference w:type="default" r:id="rId9"/>
          <w:pgSz w:w="12240" w:h="16340"/>
          <w:pgMar w:top="1163" w:right="875" w:bottom="659" w:left="1184" w:header="720" w:footer="720" w:gutter="0"/>
          <w:cols w:space="720"/>
          <w:noEndnote/>
        </w:sectPr>
      </w:pPr>
    </w:p>
    <w:p w:rsidR="00DA1270" w:rsidRPr="00700030" w:rsidRDefault="00DA1270" w:rsidP="00056D85">
      <w:pPr>
        <w:pStyle w:val="Default"/>
        <w:numPr>
          <w:ilvl w:val="0"/>
          <w:numId w:val="14"/>
        </w:numPr>
        <w:spacing w:before="120" w:after="120"/>
        <w:rPr>
          <w:rFonts w:ascii="Calibri" w:hAnsi="Calibri"/>
          <w:sz w:val="22"/>
          <w:szCs w:val="22"/>
        </w:rPr>
      </w:pPr>
      <w:r w:rsidRPr="00700030">
        <w:rPr>
          <w:rFonts w:ascii="Calibri" w:hAnsi="Calibri"/>
          <w:sz w:val="22"/>
          <w:szCs w:val="22"/>
        </w:rPr>
        <w:lastRenderedPageBreak/>
        <w:t>Construction costs</w:t>
      </w:r>
    </w:p>
    <w:p w:rsidR="00DA1270" w:rsidRPr="00700030" w:rsidRDefault="00DA1270" w:rsidP="00056D85">
      <w:pPr>
        <w:pStyle w:val="Default"/>
        <w:numPr>
          <w:ilvl w:val="0"/>
          <w:numId w:val="14"/>
        </w:numPr>
        <w:spacing w:before="120" w:after="120"/>
        <w:rPr>
          <w:rFonts w:ascii="Calibri" w:hAnsi="Calibri"/>
          <w:sz w:val="22"/>
          <w:szCs w:val="22"/>
        </w:rPr>
      </w:pPr>
      <w:r w:rsidRPr="00700030">
        <w:rPr>
          <w:rFonts w:ascii="Calibri" w:hAnsi="Calibri"/>
          <w:sz w:val="22"/>
          <w:szCs w:val="22"/>
        </w:rPr>
        <w:t>M&amp;V confidence</w:t>
      </w:r>
    </w:p>
    <w:p w:rsidR="00DA1270" w:rsidRPr="00700030" w:rsidRDefault="00DA1270" w:rsidP="00056D85">
      <w:pPr>
        <w:pStyle w:val="Default"/>
        <w:numPr>
          <w:ilvl w:val="0"/>
          <w:numId w:val="14"/>
        </w:numPr>
        <w:spacing w:before="120" w:after="120"/>
        <w:rPr>
          <w:rFonts w:ascii="Calibri" w:hAnsi="Calibri"/>
          <w:sz w:val="22"/>
          <w:szCs w:val="22"/>
        </w:rPr>
      </w:pPr>
      <w:r w:rsidRPr="00700030">
        <w:rPr>
          <w:rFonts w:ascii="Calibri" w:hAnsi="Calibri"/>
          <w:sz w:val="22"/>
          <w:szCs w:val="22"/>
        </w:rPr>
        <w:t>Energy-related (one-time) savings</w:t>
      </w:r>
    </w:p>
    <w:p w:rsidR="00DA1270" w:rsidRPr="00700030" w:rsidRDefault="00DA1270" w:rsidP="00056D85">
      <w:pPr>
        <w:pStyle w:val="Default"/>
        <w:numPr>
          <w:ilvl w:val="0"/>
          <w:numId w:val="14"/>
        </w:numPr>
        <w:spacing w:before="120" w:after="120"/>
        <w:rPr>
          <w:rFonts w:ascii="Calibri" w:hAnsi="Calibri"/>
          <w:sz w:val="22"/>
          <w:szCs w:val="22"/>
        </w:rPr>
      </w:pPr>
      <w:r w:rsidRPr="00700030">
        <w:rPr>
          <w:rFonts w:ascii="Calibri" w:hAnsi="Calibri"/>
          <w:sz w:val="22"/>
          <w:szCs w:val="22"/>
        </w:rPr>
        <w:t>Delays</w:t>
      </w:r>
    </w:p>
    <w:p w:rsidR="00DA1270" w:rsidRPr="00700030" w:rsidRDefault="00DA1270" w:rsidP="00056D85">
      <w:pPr>
        <w:pStyle w:val="Default"/>
        <w:numPr>
          <w:ilvl w:val="0"/>
          <w:numId w:val="14"/>
        </w:numPr>
        <w:spacing w:before="120" w:after="120"/>
        <w:rPr>
          <w:rFonts w:ascii="Calibri" w:hAnsi="Calibri"/>
          <w:sz w:val="22"/>
          <w:szCs w:val="22"/>
        </w:rPr>
      </w:pPr>
      <w:r w:rsidRPr="00700030">
        <w:rPr>
          <w:rFonts w:ascii="Calibri" w:hAnsi="Calibri"/>
          <w:sz w:val="22"/>
          <w:szCs w:val="22"/>
        </w:rPr>
        <w:t>Major changes in facility</w:t>
      </w:r>
    </w:p>
    <w:p w:rsidR="00DA1270" w:rsidRPr="00700030" w:rsidRDefault="00DA1270" w:rsidP="00056D85">
      <w:pPr>
        <w:pStyle w:val="Default"/>
        <w:numPr>
          <w:ilvl w:val="0"/>
          <w:numId w:val="14"/>
        </w:numPr>
        <w:spacing w:before="120" w:after="120"/>
        <w:rPr>
          <w:rFonts w:ascii="Calibri" w:hAnsi="Calibri"/>
          <w:sz w:val="22"/>
          <w:szCs w:val="22"/>
        </w:rPr>
      </w:pPr>
      <w:r w:rsidRPr="00700030">
        <w:rPr>
          <w:rFonts w:ascii="Calibri" w:hAnsi="Calibri"/>
          <w:sz w:val="22"/>
          <w:szCs w:val="22"/>
        </w:rPr>
        <w:t>Interest rates (prevailing index rate verified)</w:t>
      </w:r>
    </w:p>
    <w:p w:rsidR="00432376" w:rsidRDefault="00432376" w:rsidP="00700030">
      <w:pPr>
        <w:pStyle w:val="Default"/>
        <w:spacing w:before="120" w:after="120"/>
        <w:rPr>
          <w:rFonts w:ascii="Calibri" w:hAnsi="Calibri"/>
          <w:b/>
          <w:sz w:val="22"/>
          <w:szCs w:val="22"/>
        </w:rPr>
        <w:sectPr w:rsidR="00432376" w:rsidSect="00C71587">
          <w:type w:val="continuous"/>
          <w:pgSz w:w="12240" w:h="16340"/>
          <w:pgMar w:top="1163" w:right="875" w:bottom="659" w:left="1184" w:header="720" w:footer="720" w:gutter="0"/>
          <w:cols w:space="720"/>
          <w:noEndnote/>
        </w:sectPr>
      </w:pPr>
    </w:p>
    <w:p w:rsidR="00DA1270" w:rsidRPr="00700030" w:rsidRDefault="00DA1270" w:rsidP="00700030">
      <w:pPr>
        <w:pStyle w:val="Default"/>
        <w:spacing w:before="120" w:after="120"/>
        <w:rPr>
          <w:rFonts w:ascii="Calibri" w:hAnsi="Calibri"/>
          <w:sz w:val="22"/>
          <w:szCs w:val="22"/>
        </w:rPr>
      </w:pPr>
      <w:r w:rsidRPr="00056D85">
        <w:rPr>
          <w:rFonts w:ascii="Calibri" w:hAnsi="Calibri"/>
          <w:b/>
          <w:sz w:val="22"/>
          <w:szCs w:val="22"/>
        </w:rPr>
        <w:lastRenderedPageBreak/>
        <w:t>Operational Factors</w:t>
      </w:r>
      <w:r w:rsidR="00056D85">
        <w:rPr>
          <w:rFonts w:ascii="Calibri" w:hAnsi="Calibri"/>
          <w:sz w:val="22"/>
          <w:szCs w:val="22"/>
        </w:rPr>
        <w:t>:</w:t>
      </w:r>
      <w:r w:rsidRPr="00700030">
        <w:rPr>
          <w:rFonts w:ascii="Calibri" w:hAnsi="Calibri"/>
          <w:sz w:val="22"/>
          <w:szCs w:val="22"/>
        </w:rPr>
        <w:t xml:space="preserve"> The agency and the ESCO agree on the baselines for the ECMs, how they will be determined, and how savings will be calculated and compared to the guarantee for verification. The components for the operational risk are:</w:t>
      </w:r>
    </w:p>
    <w:p w:rsidR="00432376" w:rsidRDefault="00432376" w:rsidP="00056D85">
      <w:pPr>
        <w:pStyle w:val="Default"/>
        <w:numPr>
          <w:ilvl w:val="0"/>
          <w:numId w:val="13"/>
        </w:numPr>
        <w:spacing w:before="120" w:after="120"/>
        <w:rPr>
          <w:rFonts w:ascii="Calibri" w:hAnsi="Calibri"/>
          <w:sz w:val="22"/>
          <w:szCs w:val="22"/>
        </w:rPr>
        <w:sectPr w:rsidR="00432376" w:rsidSect="00432376">
          <w:type w:val="continuous"/>
          <w:pgSz w:w="12240" w:h="16340"/>
          <w:pgMar w:top="1163" w:right="875" w:bottom="659" w:left="1184" w:header="720" w:footer="720" w:gutter="0"/>
          <w:cols w:space="720"/>
          <w:noEndnote/>
        </w:sectPr>
      </w:pPr>
    </w:p>
    <w:p w:rsidR="00DA1270" w:rsidRPr="00700030" w:rsidRDefault="00DA1270" w:rsidP="00056D85">
      <w:pPr>
        <w:pStyle w:val="Default"/>
        <w:numPr>
          <w:ilvl w:val="0"/>
          <w:numId w:val="13"/>
        </w:numPr>
        <w:spacing w:before="120" w:after="120"/>
        <w:rPr>
          <w:rFonts w:ascii="Calibri" w:hAnsi="Calibri"/>
          <w:sz w:val="22"/>
          <w:szCs w:val="22"/>
        </w:rPr>
      </w:pPr>
      <w:r w:rsidRPr="00700030">
        <w:rPr>
          <w:rFonts w:ascii="Calibri" w:hAnsi="Calibri"/>
          <w:sz w:val="22"/>
          <w:szCs w:val="22"/>
        </w:rPr>
        <w:lastRenderedPageBreak/>
        <w:t>Operating Hours</w:t>
      </w:r>
    </w:p>
    <w:p w:rsidR="00DA1270" w:rsidRPr="00700030" w:rsidRDefault="00DA1270" w:rsidP="00056D85">
      <w:pPr>
        <w:pStyle w:val="Default"/>
        <w:numPr>
          <w:ilvl w:val="0"/>
          <w:numId w:val="13"/>
        </w:numPr>
        <w:spacing w:before="120" w:after="120"/>
        <w:rPr>
          <w:rFonts w:ascii="Calibri" w:hAnsi="Calibri"/>
          <w:sz w:val="22"/>
          <w:szCs w:val="22"/>
        </w:rPr>
      </w:pPr>
      <w:r w:rsidRPr="00700030">
        <w:rPr>
          <w:rFonts w:ascii="Calibri" w:hAnsi="Calibri"/>
          <w:sz w:val="22"/>
          <w:szCs w:val="22"/>
        </w:rPr>
        <w:t>Loads</w:t>
      </w:r>
    </w:p>
    <w:p w:rsidR="00DA1270" w:rsidRPr="00700030" w:rsidRDefault="00DA1270" w:rsidP="00056D85">
      <w:pPr>
        <w:pStyle w:val="Default"/>
        <w:numPr>
          <w:ilvl w:val="0"/>
          <w:numId w:val="13"/>
        </w:numPr>
        <w:spacing w:before="120" w:after="120"/>
        <w:rPr>
          <w:rFonts w:ascii="Calibri" w:hAnsi="Calibri"/>
          <w:sz w:val="22"/>
          <w:szCs w:val="22"/>
        </w:rPr>
      </w:pPr>
      <w:r w:rsidRPr="00700030">
        <w:rPr>
          <w:rFonts w:ascii="Calibri" w:hAnsi="Calibri"/>
          <w:sz w:val="22"/>
          <w:szCs w:val="22"/>
        </w:rPr>
        <w:t>Weather</w:t>
      </w:r>
    </w:p>
    <w:p w:rsidR="00DA1270" w:rsidRPr="00700030" w:rsidRDefault="00DA1270" w:rsidP="00056D85">
      <w:pPr>
        <w:pStyle w:val="Default"/>
        <w:numPr>
          <w:ilvl w:val="0"/>
          <w:numId w:val="13"/>
        </w:numPr>
        <w:spacing w:before="120" w:after="120"/>
        <w:rPr>
          <w:rFonts w:ascii="Calibri" w:hAnsi="Calibri"/>
          <w:sz w:val="22"/>
          <w:szCs w:val="22"/>
        </w:rPr>
      </w:pPr>
      <w:r w:rsidRPr="00700030">
        <w:rPr>
          <w:rFonts w:ascii="Calibri" w:hAnsi="Calibri"/>
          <w:sz w:val="22"/>
          <w:szCs w:val="22"/>
        </w:rPr>
        <w:t>User Participation</w:t>
      </w:r>
    </w:p>
    <w:p w:rsidR="00432376" w:rsidRDefault="00432376" w:rsidP="00056D85">
      <w:pPr>
        <w:pStyle w:val="Default"/>
        <w:spacing w:before="120" w:after="120"/>
        <w:rPr>
          <w:rFonts w:ascii="Calibri" w:hAnsi="Calibri"/>
          <w:b/>
          <w:sz w:val="22"/>
          <w:szCs w:val="22"/>
        </w:rPr>
        <w:sectPr w:rsidR="00432376" w:rsidSect="00C71587">
          <w:type w:val="continuous"/>
          <w:pgSz w:w="12240" w:h="16340"/>
          <w:pgMar w:top="1163" w:right="875" w:bottom="659" w:left="1184" w:header="720" w:footer="720" w:gutter="0"/>
          <w:cols w:space="720"/>
          <w:noEndnote/>
        </w:sectPr>
      </w:pPr>
    </w:p>
    <w:p w:rsidR="00736082" w:rsidRPr="00700030" w:rsidRDefault="00DA1270" w:rsidP="00056D85">
      <w:pPr>
        <w:pStyle w:val="Default"/>
        <w:spacing w:before="120" w:after="120"/>
        <w:rPr>
          <w:rFonts w:ascii="Calibri" w:hAnsi="Calibri"/>
          <w:sz w:val="22"/>
          <w:szCs w:val="22"/>
        </w:rPr>
      </w:pPr>
      <w:r w:rsidRPr="00056D85">
        <w:rPr>
          <w:rFonts w:ascii="Calibri" w:hAnsi="Calibri"/>
          <w:b/>
          <w:sz w:val="22"/>
          <w:szCs w:val="22"/>
        </w:rPr>
        <w:lastRenderedPageBreak/>
        <w:t>Performance Factors</w:t>
      </w:r>
      <w:r w:rsidR="00056D85">
        <w:rPr>
          <w:rFonts w:ascii="Calibri" w:hAnsi="Calibri"/>
          <w:sz w:val="22"/>
          <w:szCs w:val="22"/>
        </w:rPr>
        <w:t>:</w:t>
      </w:r>
      <w:r w:rsidRPr="00700030">
        <w:rPr>
          <w:rFonts w:ascii="Calibri" w:hAnsi="Calibri"/>
          <w:sz w:val="22"/>
          <w:szCs w:val="22"/>
        </w:rPr>
        <w:t xml:space="preserve"> The ESCO is ultimately responsible for the design, installation and performance of the equipment. When reviewing this section of the RRPM consider how performance and standards of service will be </w:t>
      </w:r>
      <w:r w:rsidRPr="00700030">
        <w:rPr>
          <w:rFonts w:ascii="Calibri" w:hAnsi="Calibri"/>
          <w:sz w:val="22"/>
          <w:szCs w:val="22"/>
        </w:rPr>
        <w:lastRenderedPageBreak/>
        <w:t xml:space="preserve">verified and what the consequences for unacceptable performance and standards of the service will be. </w:t>
      </w:r>
      <w:r w:rsidR="00736082" w:rsidRPr="00700030">
        <w:rPr>
          <w:rFonts w:ascii="Calibri" w:hAnsi="Calibri"/>
          <w:sz w:val="22"/>
          <w:szCs w:val="22"/>
        </w:rPr>
        <w:t>Is it clearly stated which party will be responsible for</w:t>
      </w:r>
      <w:r w:rsidR="00056D85">
        <w:rPr>
          <w:rFonts w:ascii="Calibri" w:hAnsi="Calibri"/>
          <w:sz w:val="22"/>
          <w:szCs w:val="22"/>
        </w:rPr>
        <w:t xml:space="preserve"> d</w:t>
      </w:r>
      <w:r w:rsidR="00736082" w:rsidRPr="00700030">
        <w:rPr>
          <w:rFonts w:ascii="Calibri" w:hAnsi="Calibri"/>
          <w:sz w:val="22"/>
          <w:szCs w:val="22"/>
        </w:rPr>
        <w:t>ay-to-day O&amp;M</w:t>
      </w:r>
      <w:r w:rsidR="00056D85">
        <w:rPr>
          <w:rFonts w:ascii="Calibri" w:hAnsi="Calibri"/>
          <w:sz w:val="22"/>
          <w:szCs w:val="22"/>
        </w:rPr>
        <w:t>?</w:t>
      </w:r>
    </w:p>
    <w:p w:rsidR="00736082" w:rsidRPr="00700030" w:rsidRDefault="00736082" w:rsidP="00056D85">
      <w:pPr>
        <w:pStyle w:val="Default"/>
        <w:numPr>
          <w:ilvl w:val="0"/>
          <w:numId w:val="13"/>
        </w:numPr>
        <w:spacing w:before="120" w:after="120"/>
        <w:rPr>
          <w:rFonts w:ascii="Calibri" w:hAnsi="Calibri"/>
          <w:sz w:val="22"/>
          <w:szCs w:val="22"/>
        </w:rPr>
      </w:pPr>
      <w:r w:rsidRPr="00700030">
        <w:rPr>
          <w:rFonts w:ascii="Calibri" w:hAnsi="Calibri"/>
          <w:sz w:val="22"/>
          <w:szCs w:val="22"/>
        </w:rPr>
        <w:t>If ESCO does the work, it assumes all risk.</w:t>
      </w:r>
    </w:p>
    <w:p w:rsidR="00736082" w:rsidRPr="00700030" w:rsidRDefault="00736082" w:rsidP="00056D85">
      <w:pPr>
        <w:pStyle w:val="Default"/>
        <w:numPr>
          <w:ilvl w:val="0"/>
          <w:numId w:val="13"/>
        </w:numPr>
        <w:spacing w:before="120" w:after="120"/>
        <w:rPr>
          <w:rFonts w:ascii="Calibri" w:hAnsi="Calibri"/>
          <w:sz w:val="22"/>
          <w:szCs w:val="22"/>
        </w:rPr>
      </w:pPr>
      <w:r w:rsidRPr="00700030">
        <w:rPr>
          <w:rFonts w:ascii="Calibri" w:hAnsi="Calibri"/>
          <w:sz w:val="22"/>
          <w:szCs w:val="22"/>
        </w:rPr>
        <w:t>If agency does the work it assumes some of the performance risk.</w:t>
      </w:r>
    </w:p>
    <w:p w:rsidR="00736082" w:rsidRPr="00700030" w:rsidRDefault="00736082" w:rsidP="00056D85">
      <w:pPr>
        <w:pStyle w:val="Default"/>
        <w:numPr>
          <w:ilvl w:val="0"/>
          <w:numId w:val="13"/>
        </w:numPr>
        <w:spacing w:before="120" w:after="120"/>
        <w:rPr>
          <w:rFonts w:ascii="Calibri" w:hAnsi="Calibri"/>
          <w:sz w:val="22"/>
          <w:szCs w:val="22"/>
        </w:rPr>
      </w:pPr>
      <w:r w:rsidRPr="00700030">
        <w:rPr>
          <w:rFonts w:ascii="Calibri" w:hAnsi="Calibri"/>
          <w:sz w:val="22"/>
          <w:szCs w:val="22"/>
        </w:rPr>
        <w:t>Has the remedy for shortfalls been clearly stated if the agency performs the da</w:t>
      </w:r>
      <w:r w:rsidR="0003119C" w:rsidRPr="00700030">
        <w:rPr>
          <w:rFonts w:ascii="Calibri" w:hAnsi="Calibri"/>
          <w:sz w:val="22"/>
          <w:szCs w:val="22"/>
        </w:rPr>
        <w:t>y</w:t>
      </w:r>
      <w:r w:rsidRPr="00700030">
        <w:rPr>
          <w:rFonts w:ascii="Calibri" w:hAnsi="Calibri"/>
          <w:sz w:val="22"/>
          <w:szCs w:val="22"/>
        </w:rPr>
        <w:t xml:space="preserve">-to-day </w:t>
      </w:r>
      <w:r w:rsidR="0003119C" w:rsidRPr="00700030">
        <w:rPr>
          <w:rFonts w:ascii="Calibri" w:hAnsi="Calibri"/>
          <w:sz w:val="22"/>
          <w:szCs w:val="22"/>
        </w:rPr>
        <w:t>O</w:t>
      </w:r>
      <w:r w:rsidRPr="00700030">
        <w:rPr>
          <w:rFonts w:ascii="Calibri" w:hAnsi="Calibri"/>
          <w:sz w:val="22"/>
          <w:szCs w:val="22"/>
        </w:rPr>
        <w:t>&amp;M?</w:t>
      </w:r>
    </w:p>
    <w:p w:rsidR="00AC3431" w:rsidRPr="00700030" w:rsidRDefault="00F1224A" w:rsidP="00700030">
      <w:pPr>
        <w:pStyle w:val="Heading3"/>
      </w:pPr>
      <w:r w:rsidRPr="00700030">
        <w:t xml:space="preserve"> </w:t>
      </w:r>
      <w:r w:rsidR="008811B6" w:rsidRPr="00700030">
        <w:t>Price:</w:t>
      </w:r>
      <w:r w:rsidR="00AC3431" w:rsidRPr="00700030">
        <w:t xml:space="preserve">  </w:t>
      </w:r>
    </w:p>
    <w:p w:rsidR="008811B6" w:rsidRPr="00700030" w:rsidRDefault="008811B6" w:rsidP="00700030">
      <w:pPr>
        <w:pStyle w:val="CM6"/>
        <w:numPr>
          <w:ilvl w:val="0"/>
          <w:numId w:val="9"/>
        </w:numPr>
        <w:spacing w:before="120" w:after="120"/>
        <w:rPr>
          <w:rFonts w:ascii="Calibri" w:hAnsi="Calibri"/>
          <w:sz w:val="22"/>
          <w:szCs w:val="22"/>
        </w:rPr>
      </w:pPr>
      <w:r w:rsidRPr="00700030">
        <w:rPr>
          <w:rFonts w:ascii="Calibri" w:hAnsi="Calibri"/>
          <w:sz w:val="22"/>
          <w:szCs w:val="22"/>
        </w:rPr>
        <w:t xml:space="preserve">Compare columns on TO-1 (initial) to ensure payments are less than savings. </w:t>
      </w:r>
    </w:p>
    <w:p w:rsidR="00056D85" w:rsidRDefault="008811B6" w:rsidP="00700030">
      <w:pPr>
        <w:pStyle w:val="Default"/>
        <w:numPr>
          <w:ilvl w:val="0"/>
          <w:numId w:val="9"/>
        </w:numPr>
        <w:spacing w:before="120" w:after="120"/>
        <w:rPr>
          <w:rFonts w:ascii="Calibri" w:hAnsi="Calibri"/>
          <w:color w:val="auto"/>
          <w:sz w:val="22"/>
          <w:szCs w:val="22"/>
        </w:rPr>
      </w:pPr>
      <w:r w:rsidRPr="00700030">
        <w:rPr>
          <w:rFonts w:ascii="Calibri" w:hAnsi="Calibri"/>
          <w:color w:val="auto"/>
          <w:sz w:val="22"/>
          <w:szCs w:val="22"/>
        </w:rPr>
        <w:t xml:space="preserve">Pricing is consistent between TO schedules. </w:t>
      </w:r>
    </w:p>
    <w:p w:rsidR="00056D85" w:rsidRDefault="008811B6" w:rsidP="00056D85">
      <w:pPr>
        <w:pStyle w:val="Default"/>
        <w:numPr>
          <w:ilvl w:val="1"/>
          <w:numId w:val="9"/>
        </w:numPr>
        <w:spacing w:before="120" w:after="120"/>
        <w:rPr>
          <w:rFonts w:ascii="Calibri" w:hAnsi="Calibri"/>
          <w:color w:val="auto"/>
          <w:sz w:val="22"/>
          <w:szCs w:val="22"/>
        </w:rPr>
      </w:pPr>
      <w:r w:rsidRPr="00700030">
        <w:rPr>
          <w:rFonts w:ascii="Calibri" w:hAnsi="Calibri"/>
          <w:color w:val="auto"/>
          <w:sz w:val="22"/>
          <w:szCs w:val="22"/>
        </w:rPr>
        <w:t xml:space="preserve">TO-1 “Contractor Payments” match TO-3 “Total Contractor Payments” </w:t>
      </w:r>
    </w:p>
    <w:p w:rsidR="00056D85" w:rsidRDefault="008811B6" w:rsidP="00056D85">
      <w:pPr>
        <w:pStyle w:val="Default"/>
        <w:numPr>
          <w:ilvl w:val="1"/>
          <w:numId w:val="9"/>
        </w:numPr>
        <w:spacing w:before="120" w:after="120"/>
        <w:rPr>
          <w:rFonts w:ascii="Calibri" w:hAnsi="Calibri"/>
          <w:color w:val="auto"/>
          <w:sz w:val="22"/>
          <w:szCs w:val="22"/>
        </w:rPr>
      </w:pPr>
      <w:r w:rsidRPr="00700030">
        <w:rPr>
          <w:rFonts w:ascii="Calibri" w:hAnsi="Calibri"/>
          <w:color w:val="auto"/>
          <w:sz w:val="22"/>
          <w:szCs w:val="22"/>
        </w:rPr>
        <w:t xml:space="preserve">TO-2 “Total Implementation Price” matches the value listed on TO-3 </w:t>
      </w:r>
    </w:p>
    <w:p w:rsidR="008811B6" w:rsidRPr="00700030" w:rsidRDefault="008811B6" w:rsidP="00056D85">
      <w:pPr>
        <w:pStyle w:val="Default"/>
        <w:numPr>
          <w:ilvl w:val="1"/>
          <w:numId w:val="9"/>
        </w:numPr>
        <w:spacing w:before="120" w:after="120"/>
        <w:rPr>
          <w:rFonts w:ascii="Calibri" w:hAnsi="Calibri"/>
          <w:color w:val="auto"/>
          <w:sz w:val="22"/>
          <w:szCs w:val="22"/>
        </w:rPr>
      </w:pPr>
      <w:r w:rsidRPr="00700030">
        <w:rPr>
          <w:rFonts w:ascii="Calibri" w:hAnsi="Calibri"/>
          <w:color w:val="auto"/>
          <w:sz w:val="22"/>
          <w:szCs w:val="22"/>
        </w:rPr>
        <w:t xml:space="preserve">TO-4 “Estimated Annual Savings” matches the value on TO-1 (year 1) </w:t>
      </w:r>
    </w:p>
    <w:p w:rsidR="00736082" w:rsidRPr="00700030" w:rsidRDefault="008811B6" w:rsidP="00700030">
      <w:pPr>
        <w:pStyle w:val="Default"/>
        <w:numPr>
          <w:ilvl w:val="0"/>
          <w:numId w:val="9"/>
        </w:numPr>
        <w:spacing w:before="120" w:after="120"/>
        <w:rPr>
          <w:rFonts w:ascii="Calibri" w:hAnsi="Calibri"/>
          <w:color w:val="auto"/>
          <w:sz w:val="22"/>
          <w:szCs w:val="22"/>
        </w:rPr>
      </w:pPr>
      <w:r w:rsidRPr="00700030">
        <w:rPr>
          <w:rFonts w:ascii="Calibri" w:hAnsi="Calibri"/>
          <w:color w:val="auto"/>
          <w:sz w:val="22"/>
          <w:szCs w:val="22"/>
        </w:rPr>
        <w:t xml:space="preserve">Ask your facilitator about benchmark ranges for direct costs of common ECMs such as lighting, variable-speed drives, and chillers. This is a gross check at this stage, and the final proposal will contain more direct cost information for evaluation and negotiation. </w:t>
      </w:r>
    </w:p>
    <w:p w:rsidR="00736082" w:rsidRPr="00700030" w:rsidRDefault="00AC3431" w:rsidP="00700030">
      <w:pPr>
        <w:pStyle w:val="CM6"/>
        <w:spacing w:before="120" w:after="120" w:line="240" w:lineRule="auto"/>
        <w:rPr>
          <w:rFonts w:ascii="Calibri" w:hAnsi="Calibri"/>
          <w:sz w:val="22"/>
          <w:szCs w:val="22"/>
        </w:rPr>
      </w:pPr>
      <w:r w:rsidRPr="00700030">
        <w:rPr>
          <w:rFonts w:ascii="Calibri" w:hAnsi="Calibri"/>
          <w:color w:val="000000"/>
          <w:sz w:val="22"/>
          <w:szCs w:val="22"/>
        </w:rPr>
        <w:t xml:space="preserve">After the written preliminary assessment is submitted, conversations with the ESCO should not </w:t>
      </w:r>
      <w:r w:rsidR="00736082" w:rsidRPr="00700030">
        <w:rPr>
          <w:rFonts w:ascii="Calibri" w:hAnsi="Calibri"/>
          <w:color w:val="000000"/>
          <w:sz w:val="22"/>
          <w:szCs w:val="22"/>
        </w:rPr>
        <w:t xml:space="preserve">be </w:t>
      </w:r>
      <w:r w:rsidRPr="00700030">
        <w:rPr>
          <w:rFonts w:ascii="Calibri" w:hAnsi="Calibri"/>
          <w:color w:val="000000"/>
          <w:sz w:val="22"/>
          <w:szCs w:val="22"/>
        </w:rPr>
        <w:t xml:space="preserve">directed toward asking for a revised assessment. The preliminary assessment should remain intact while the agency is deciding whether to move forward. If the ESCO gives a presentation, keep to questions and clarifications on the proposal rather than suggesting changes to scope, technologies, </w:t>
      </w:r>
      <w:r w:rsidR="00056D85">
        <w:rPr>
          <w:rFonts w:ascii="Calibri" w:hAnsi="Calibri"/>
          <w:color w:val="000000"/>
          <w:sz w:val="22"/>
          <w:szCs w:val="22"/>
        </w:rPr>
        <w:t>t</w:t>
      </w:r>
      <w:r w:rsidR="00F1224A" w:rsidRPr="00700030">
        <w:rPr>
          <w:rFonts w:ascii="Calibri" w:hAnsi="Calibri"/>
          <w:sz w:val="22"/>
          <w:szCs w:val="22"/>
        </w:rPr>
        <w:t xml:space="preserve">he government should attempt to complete the review as soon as possible. </w:t>
      </w:r>
    </w:p>
    <w:p w:rsidR="00501CCE" w:rsidRPr="00700030" w:rsidRDefault="00F1224A" w:rsidP="00700030">
      <w:pPr>
        <w:pStyle w:val="CM6"/>
        <w:spacing w:before="120" w:after="120" w:line="240" w:lineRule="auto"/>
        <w:rPr>
          <w:rFonts w:ascii="Calibri" w:hAnsi="Calibri"/>
          <w:color w:val="000000"/>
          <w:sz w:val="22"/>
          <w:szCs w:val="22"/>
        </w:rPr>
      </w:pPr>
      <w:r w:rsidRPr="00700030">
        <w:rPr>
          <w:rFonts w:ascii="Calibri" w:hAnsi="Calibri"/>
          <w:sz w:val="22"/>
          <w:szCs w:val="22"/>
        </w:rPr>
        <w:t xml:space="preserve"> After</w:t>
      </w:r>
      <w:r w:rsidR="00736082" w:rsidRPr="00700030">
        <w:rPr>
          <w:rFonts w:ascii="Calibri" w:hAnsi="Calibri"/>
          <w:sz w:val="22"/>
          <w:szCs w:val="22"/>
        </w:rPr>
        <w:t xml:space="preserve"> </w:t>
      </w:r>
      <w:r w:rsidR="00AC3431" w:rsidRPr="00700030">
        <w:rPr>
          <w:rFonts w:ascii="Calibri" w:hAnsi="Calibri"/>
          <w:color w:val="000000"/>
          <w:sz w:val="22"/>
          <w:szCs w:val="22"/>
        </w:rPr>
        <w:t xml:space="preserve">completing the technical and price review, these questions should be answered to determine whether to proceed with the project: </w:t>
      </w:r>
    </w:p>
    <w:p w:rsidR="00501CCE" w:rsidRPr="00700030" w:rsidRDefault="00AC3431" w:rsidP="00700030">
      <w:pPr>
        <w:pStyle w:val="CM6"/>
        <w:numPr>
          <w:ilvl w:val="0"/>
          <w:numId w:val="11"/>
        </w:numPr>
        <w:spacing w:before="120" w:after="120" w:line="240" w:lineRule="auto"/>
        <w:rPr>
          <w:rFonts w:ascii="Calibri" w:hAnsi="Calibri"/>
          <w:sz w:val="22"/>
          <w:szCs w:val="22"/>
        </w:rPr>
      </w:pPr>
      <w:r w:rsidRPr="00700030">
        <w:rPr>
          <w:rFonts w:ascii="Calibri" w:hAnsi="Calibri"/>
          <w:sz w:val="22"/>
          <w:szCs w:val="22"/>
        </w:rPr>
        <w:t xml:space="preserve">Does this project proposal meet the majority of the agency needs? Is this an appropriate project to pursue under a performance contract? </w:t>
      </w:r>
    </w:p>
    <w:p w:rsidR="00501CCE" w:rsidRPr="00700030" w:rsidRDefault="00AC3431" w:rsidP="00700030">
      <w:pPr>
        <w:pStyle w:val="CM6"/>
        <w:numPr>
          <w:ilvl w:val="0"/>
          <w:numId w:val="11"/>
        </w:numPr>
        <w:spacing w:before="120" w:after="120" w:line="240" w:lineRule="auto"/>
        <w:rPr>
          <w:rFonts w:ascii="Calibri" w:hAnsi="Calibri"/>
          <w:sz w:val="22"/>
          <w:szCs w:val="22"/>
        </w:rPr>
      </w:pPr>
      <w:r w:rsidRPr="00700030">
        <w:rPr>
          <w:rFonts w:ascii="Calibri" w:hAnsi="Calibri"/>
          <w:sz w:val="22"/>
          <w:szCs w:val="22"/>
        </w:rPr>
        <w:t xml:space="preserve">Is this a reasonable technical and financial deal for the government? </w:t>
      </w:r>
    </w:p>
    <w:p w:rsidR="00AC3431" w:rsidRPr="00700030" w:rsidRDefault="00AC3431" w:rsidP="00700030">
      <w:pPr>
        <w:pStyle w:val="CM6"/>
        <w:numPr>
          <w:ilvl w:val="0"/>
          <w:numId w:val="11"/>
        </w:numPr>
        <w:spacing w:before="120" w:after="120" w:line="240" w:lineRule="auto"/>
        <w:rPr>
          <w:rFonts w:ascii="Calibri" w:hAnsi="Calibri"/>
          <w:color w:val="000000"/>
          <w:sz w:val="22"/>
          <w:szCs w:val="22"/>
        </w:rPr>
      </w:pPr>
      <w:r w:rsidRPr="00700030">
        <w:rPr>
          <w:rFonts w:ascii="Calibri" w:hAnsi="Calibri"/>
          <w:sz w:val="22"/>
          <w:szCs w:val="22"/>
        </w:rPr>
        <w:t xml:space="preserve">Is this a contractor with whom you can have a good long-term working relationship? </w:t>
      </w:r>
    </w:p>
    <w:p w:rsidR="008811B6" w:rsidRPr="00700030" w:rsidRDefault="00AC3431" w:rsidP="00432376">
      <w:pPr>
        <w:pStyle w:val="CM12"/>
        <w:spacing w:before="120" w:after="120" w:line="276" w:lineRule="atLeast"/>
        <w:rPr>
          <w:rFonts w:ascii="Calibri" w:hAnsi="Calibri"/>
          <w:b/>
          <w:bCs/>
          <w:color w:val="000000"/>
          <w:sz w:val="22"/>
          <w:szCs w:val="22"/>
        </w:rPr>
      </w:pPr>
      <w:r w:rsidRPr="00700030">
        <w:rPr>
          <w:rFonts w:ascii="Calibri" w:hAnsi="Calibri"/>
          <w:color w:val="000000"/>
          <w:sz w:val="22"/>
          <w:szCs w:val="22"/>
        </w:rPr>
        <w:t>If the answers are “Yes,” then it is justified and expected that the agency will continue on a single-source path with the ESCO. The agency CO should write a brief justification to file to back up the decision. Remember that the proposal will not be perfect at this stage, but it should provide the “core” measures expected in the final package.</w:t>
      </w:r>
      <w:r w:rsidR="00432376">
        <w:rPr>
          <w:rFonts w:ascii="Calibri" w:hAnsi="Calibri"/>
          <w:color w:val="000000"/>
          <w:sz w:val="22"/>
          <w:szCs w:val="22"/>
        </w:rPr>
        <w:t xml:space="preserve"> </w:t>
      </w:r>
      <w:r w:rsidRPr="00700030">
        <w:rPr>
          <w:rFonts w:ascii="Calibri" w:hAnsi="Calibri"/>
          <w:color w:val="000000"/>
          <w:sz w:val="22"/>
          <w:szCs w:val="22"/>
        </w:rPr>
        <w:t xml:space="preserve">In general, questions and comments should be directed towards a resolution in the investment-grade audit and final proposal, and not require additional iterations of the preliminary assessment. </w:t>
      </w:r>
      <w:r w:rsidR="00726998">
        <w:rPr>
          <w:rFonts w:ascii="Calibri" w:hAnsi="Calibri"/>
          <w:color w:val="000000"/>
          <w:sz w:val="22"/>
          <w:szCs w:val="22"/>
        </w:rPr>
        <w:t xml:space="preserve"> If, for any reason, you are uncomfortable that this ESCO can deliver on your site’s requirements then seek issue resolution before proceeding.  Meanwhile, k</w:t>
      </w:r>
      <w:r w:rsidRPr="00700030">
        <w:rPr>
          <w:rFonts w:ascii="Calibri" w:hAnsi="Calibri"/>
          <w:sz w:val="22"/>
          <w:szCs w:val="22"/>
        </w:rPr>
        <w:t xml:space="preserve">eep in mind that both the technical and price proposals will be further refined during the </w:t>
      </w:r>
      <w:r w:rsidR="00501CCE" w:rsidRPr="00700030">
        <w:rPr>
          <w:rFonts w:ascii="Calibri" w:hAnsi="Calibri"/>
          <w:sz w:val="22"/>
          <w:szCs w:val="22"/>
        </w:rPr>
        <w:t>IGA.</w:t>
      </w:r>
      <w:r w:rsidRPr="00700030">
        <w:rPr>
          <w:rFonts w:ascii="Calibri" w:hAnsi="Calibri"/>
          <w:b/>
          <w:bCs/>
          <w:color w:val="000000"/>
          <w:sz w:val="22"/>
          <w:szCs w:val="22"/>
        </w:rPr>
        <w:t xml:space="preserve"> </w:t>
      </w:r>
    </w:p>
    <w:p w:rsidR="00AC3431" w:rsidRPr="00700030" w:rsidRDefault="00AC3431" w:rsidP="00700030">
      <w:pPr>
        <w:pStyle w:val="Heading3"/>
      </w:pPr>
      <w:r w:rsidRPr="00700030">
        <w:t xml:space="preserve">Checklist for M&amp;V Approach </w:t>
      </w:r>
    </w:p>
    <w:p w:rsidR="00AC3431" w:rsidRPr="00700030" w:rsidRDefault="00AC3431" w:rsidP="00C71587">
      <w:pPr>
        <w:pStyle w:val="CM6"/>
        <w:numPr>
          <w:ilvl w:val="0"/>
          <w:numId w:val="11"/>
        </w:numPr>
        <w:spacing w:before="120" w:after="120" w:line="240" w:lineRule="auto"/>
        <w:rPr>
          <w:rFonts w:ascii="Calibri" w:hAnsi="Calibri"/>
          <w:sz w:val="22"/>
          <w:szCs w:val="22"/>
        </w:rPr>
      </w:pPr>
      <w:r w:rsidRPr="00700030">
        <w:rPr>
          <w:rFonts w:ascii="Calibri" w:hAnsi="Calibri"/>
          <w:sz w:val="22"/>
          <w:szCs w:val="22"/>
        </w:rPr>
        <w:t xml:space="preserve">Project site and measures are reasonably defined. </w:t>
      </w:r>
    </w:p>
    <w:p w:rsidR="00AC3431" w:rsidRPr="00700030" w:rsidRDefault="00AC3431" w:rsidP="00C71587">
      <w:pPr>
        <w:pStyle w:val="CM6"/>
        <w:numPr>
          <w:ilvl w:val="1"/>
          <w:numId w:val="11"/>
        </w:numPr>
        <w:spacing w:before="120" w:after="120" w:line="240" w:lineRule="auto"/>
        <w:rPr>
          <w:rFonts w:ascii="Calibri" w:hAnsi="Calibri"/>
          <w:sz w:val="22"/>
          <w:szCs w:val="22"/>
        </w:rPr>
      </w:pPr>
      <w:r w:rsidRPr="00700030">
        <w:rPr>
          <w:rFonts w:ascii="Calibri" w:hAnsi="Calibri"/>
          <w:sz w:val="22"/>
          <w:szCs w:val="22"/>
        </w:rPr>
        <w:t>What savings will be claimed? (</w:t>
      </w:r>
      <w:proofErr w:type="gramStart"/>
      <w:r w:rsidRPr="00700030">
        <w:rPr>
          <w:rFonts w:ascii="Calibri" w:hAnsi="Calibri"/>
          <w:sz w:val="22"/>
          <w:szCs w:val="22"/>
        </w:rPr>
        <w:t>energy</w:t>
      </w:r>
      <w:proofErr w:type="gramEnd"/>
      <w:r w:rsidRPr="00700030">
        <w:rPr>
          <w:rFonts w:ascii="Calibri" w:hAnsi="Calibri"/>
          <w:sz w:val="22"/>
          <w:szCs w:val="22"/>
        </w:rPr>
        <w:t xml:space="preserve">, interactive effects, O&amp;M, rate change...) </w:t>
      </w:r>
    </w:p>
    <w:p w:rsidR="00AC3431" w:rsidRPr="00700030" w:rsidRDefault="00AC3431" w:rsidP="00C71587">
      <w:pPr>
        <w:pStyle w:val="CM6"/>
        <w:numPr>
          <w:ilvl w:val="0"/>
          <w:numId w:val="11"/>
        </w:numPr>
        <w:spacing w:before="120" w:after="120" w:line="240" w:lineRule="auto"/>
        <w:rPr>
          <w:rFonts w:ascii="Calibri" w:hAnsi="Calibri"/>
          <w:sz w:val="22"/>
          <w:szCs w:val="22"/>
        </w:rPr>
      </w:pPr>
      <w:r w:rsidRPr="00700030">
        <w:rPr>
          <w:rFonts w:ascii="Calibri" w:hAnsi="Calibri"/>
          <w:sz w:val="22"/>
          <w:szCs w:val="22"/>
        </w:rPr>
        <w:t xml:space="preserve">M&amp;V approach (A, B, C, D, from </w:t>
      </w:r>
      <w:r w:rsidRPr="00C71587">
        <w:rPr>
          <w:rFonts w:ascii="Calibri" w:hAnsi="Calibri"/>
          <w:sz w:val="22"/>
          <w:szCs w:val="22"/>
        </w:rPr>
        <w:t>FEMP M&amp;V Guidelines</w:t>
      </w:r>
      <w:r w:rsidRPr="00700030">
        <w:rPr>
          <w:rFonts w:ascii="Calibri" w:hAnsi="Calibri"/>
          <w:sz w:val="22"/>
          <w:szCs w:val="22"/>
        </w:rPr>
        <w:t xml:space="preserve">) is defined for each measure. </w:t>
      </w:r>
    </w:p>
    <w:p w:rsidR="00AC3431" w:rsidRPr="00700030" w:rsidRDefault="00AC3431" w:rsidP="00C71587">
      <w:pPr>
        <w:pStyle w:val="CM6"/>
        <w:numPr>
          <w:ilvl w:val="0"/>
          <w:numId w:val="11"/>
        </w:numPr>
        <w:spacing w:before="120" w:after="120" w:line="240" w:lineRule="auto"/>
        <w:rPr>
          <w:rFonts w:ascii="Calibri" w:hAnsi="Calibri"/>
          <w:sz w:val="22"/>
          <w:szCs w:val="22"/>
        </w:rPr>
      </w:pPr>
      <w:r w:rsidRPr="00700030">
        <w:rPr>
          <w:rFonts w:ascii="Calibri" w:hAnsi="Calibri"/>
          <w:sz w:val="22"/>
          <w:szCs w:val="22"/>
        </w:rPr>
        <w:t xml:space="preserve">Baseline Equipment and Conditions (plan only). </w:t>
      </w:r>
    </w:p>
    <w:p w:rsidR="00AC3431" w:rsidRPr="00700030" w:rsidRDefault="00AC3431" w:rsidP="00C71587">
      <w:pPr>
        <w:pStyle w:val="CM6"/>
        <w:numPr>
          <w:ilvl w:val="1"/>
          <w:numId w:val="11"/>
        </w:numPr>
        <w:spacing w:before="120" w:after="120" w:line="240" w:lineRule="auto"/>
        <w:rPr>
          <w:rFonts w:ascii="Calibri" w:hAnsi="Calibri"/>
          <w:sz w:val="22"/>
          <w:szCs w:val="22"/>
        </w:rPr>
      </w:pPr>
      <w:r w:rsidRPr="00700030">
        <w:rPr>
          <w:rFonts w:ascii="Calibri" w:hAnsi="Calibri"/>
          <w:sz w:val="22"/>
          <w:szCs w:val="22"/>
        </w:rPr>
        <w:t xml:space="preserve">Plan for defining existing equipment (inventory and performance) is described. </w:t>
      </w:r>
    </w:p>
    <w:p w:rsidR="00AC3431" w:rsidRPr="00700030" w:rsidRDefault="00AC3431" w:rsidP="00C71587">
      <w:pPr>
        <w:pStyle w:val="CM6"/>
        <w:numPr>
          <w:ilvl w:val="1"/>
          <w:numId w:val="11"/>
        </w:numPr>
        <w:spacing w:before="120" w:after="120" w:line="240" w:lineRule="auto"/>
        <w:rPr>
          <w:rFonts w:ascii="Calibri" w:hAnsi="Calibri"/>
          <w:sz w:val="22"/>
          <w:szCs w:val="22"/>
        </w:rPr>
      </w:pPr>
      <w:r w:rsidRPr="00700030">
        <w:rPr>
          <w:rFonts w:ascii="Calibri" w:hAnsi="Calibri"/>
          <w:sz w:val="22"/>
          <w:szCs w:val="22"/>
        </w:rPr>
        <w:lastRenderedPageBreak/>
        <w:t xml:space="preserve">Plan for defining space conditions (foot-candles, temps, etc.) is described. </w:t>
      </w:r>
    </w:p>
    <w:p w:rsidR="00AC3431" w:rsidRPr="00700030" w:rsidRDefault="00AC3431" w:rsidP="00C71587">
      <w:pPr>
        <w:pStyle w:val="CM6"/>
        <w:numPr>
          <w:ilvl w:val="1"/>
          <w:numId w:val="11"/>
        </w:numPr>
        <w:spacing w:before="120" w:after="120" w:line="240" w:lineRule="auto"/>
        <w:rPr>
          <w:rFonts w:ascii="Calibri" w:hAnsi="Calibri"/>
          <w:sz w:val="22"/>
          <w:szCs w:val="22"/>
        </w:rPr>
      </w:pPr>
      <w:r w:rsidRPr="00700030">
        <w:rPr>
          <w:rFonts w:ascii="Calibri" w:hAnsi="Calibri"/>
          <w:sz w:val="22"/>
          <w:szCs w:val="22"/>
        </w:rPr>
        <w:t xml:space="preserve">How and why any baseline adjustments will be made is discussed. </w:t>
      </w:r>
    </w:p>
    <w:p w:rsidR="00AC3431" w:rsidRPr="00700030" w:rsidRDefault="00AC3431" w:rsidP="00C71587">
      <w:pPr>
        <w:pStyle w:val="CM6"/>
        <w:numPr>
          <w:ilvl w:val="0"/>
          <w:numId w:val="11"/>
        </w:numPr>
        <w:spacing w:before="120" w:after="120" w:line="240" w:lineRule="auto"/>
        <w:rPr>
          <w:rFonts w:ascii="Calibri" w:hAnsi="Calibri"/>
          <w:sz w:val="22"/>
          <w:szCs w:val="22"/>
        </w:rPr>
      </w:pPr>
      <w:r w:rsidRPr="00700030">
        <w:rPr>
          <w:rFonts w:ascii="Calibri" w:hAnsi="Calibri"/>
          <w:sz w:val="22"/>
          <w:szCs w:val="22"/>
        </w:rPr>
        <w:t xml:space="preserve">Post-Installation Equipment and Conditions (plan only). </w:t>
      </w:r>
    </w:p>
    <w:p w:rsidR="00AC3431" w:rsidRPr="00700030" w:rsidRDefault="00AC3431" w:rsidP="00C71587">
      <w:pPr>
        <w:pStyle w:val="CM6"/>
        <w:numPr>
          <w:ilvl w:val="1"/>
          <w:numId w:val="11"/>
        </w:numPr>
        <w:spacing w:before="120" w:after="120" w:line="240" w:lineRule="auto"/>
        <w:rPr>
          <w:rFonts w:ascii="Calibri" w:hAnsi="Calibri"/>
          <w:sz w:val="22"/>
          <w:szCs w:val="22"/>
        </w:rPr>
      </w:pPr>
      <w:r w:rsidRPr="00700030">
        <w:rPr>
          <w:rFonts w:ascii="Calibri" w:hAnsi="Calibri"/>
          <w:sz w:val="22"/>
          <w:szCs w:val="22"/>
        </w:rPr>
        <w:t xml:space="preserve">Plan for defining new equipment (inventory and performance) is described. </w:t>
      </w:r>
    </w:p>
    <w:p w:rsidR="00AC3431" w:rsidRPr="00700030" w:rsidRDefault="00AC3431" w:rsidP="00C71587">
      <w:pPr>
        <w:pStyle w:val="CM6"/>
        <w:numPr>
          <w:ilvl w:val="1"/>
          <w:numId w:val="11"/>
        </w:numPr>
        <w:spacing w:before="120" w:after="120" w:line="240" w:lineRule="auto"/>
        <w:rPr>
          <w:rFonts w:ascii="Calibri" w:hAnsi="Calibri"/>
          <w:sz w:val="22"/>
          <w:szCs w:val="22"/>
        </w:rPr>
      </w:pPr>
      <w:r w:rsidRPr="00700030">
        <w:rPr>
          <w:rFonts w:ascii="Calibri" w:hAnsi="Calibri"/>
          <w:sz w:val="22"/>
          <w:szCs w:val="22"/>
        </w:rPr>
        <w:t xml:space="preserve">Plan for defining space conditions (foot-candles, temps, etc.) is described. </w:t>
      </w:r>
    </w:p>
    <w:p w:rsidR="00AC3431" w:rsidRPr="00700030" w:rsidRDefault="00AC3431" w:rsidP="00AC3431">
      <w:pPr>
        <w:pStyle w:val="Default"/>
        <w:rPr>
          <w:rFonts w:ascii="Calibri" w:hAnsi="Calibri"/>
          <w:color w:val="auto"/>
          <w:sz w:val="22"/>
          <w:szCs w:val="22"/>
        </w:rPr>
      </w:pPr>
    </w:p>
    <w:p w:rsidR="00AC3431" w:rsidRPr="00700030" w:rsidRDefault="00AC3431" w:rsidP="00C71587">
      <w:pPr>
        <w:pStyle w:val="CM6"/>
        <w:numPr>
          <w:ilvl w:val="0"/>
          <w:numId w:val="11"/>
        </w:numPr>
        <w:spacing w:before="120" w:after="120" w:line="240" w:lineRule="auto"/>
        <w:rPr>
          <w:rFonts w:ascii="Calibri" w:hAnsi="Calibri"/>
          <w:sz w:val="22"/>
          <w:szCs w:val="22"/>
        </w:rPr>
      </w:pPr>
      <w:r w:rsidRPr="00700030">
        <w:rPr>
          <w:rFonts w:ascii="Calibri" w:hAnsi="Calibri"/>
          <w:sz w:val="22"/>
          <w:szCs w:val="22"/>
        </w:rPr>
        <w:t xml:space="preserve">Annual verification and measurement activities are mentioned. </w:t>
      </w:r>
    </w:p>
    <w:p w:rsidR="00AC3431" w:rsidRPr="00700030" w:rsidRDefault="00AC3431" w:rsidP="00C71587">
      <w:pPr>
        <w:pStyle w:val="CM6"/>
        <w:numPr>
          <w:ilvl w:val="1"/>
          <w:numId w:val="11"/>
        </w:numPr>
        <w:spacing w:before="120" w:after="120" w:line="240" w:lineRule="auto"/>
        <w:rPr>
          <w:rFonts w:ascii="Calibri" w:hAnsi="Calibri"/>
          <w:sz w:val="22"/>
          <w:szCs w:val="22"/>
        </w:rPr>
      </w:pPr>
      <w:r w:rsidRPr="00700030">
        <w:rPr>
          <w:rFonts w:ascii="Calibri" w:hAnsi="Calibri"/>
          <w:sz w:val="22"/>
          <w:szCs w:val="22"/>
        </w:rPr>
        <w:t xml:space="preserve">Who will conduct the M&amp;V activities and prepare M&amp;V analyses and documentation. </w:t>
      </w:r>
    </w:p>
    <w:p w:rsidR="00700030" w:rsidRDefault="00700030" w:rsidP="00700030">
      <w:pPr>
        <w:pStyle w:val="Default"/>
      </w:pPr>
    </w:p>
    <w:p w:rsidR="00056D85" w:rsidRDefault="00056D85" w:rsidP="00700030">
      <w:pPr>
        <w:pStyle w:val="Default"/>
        <w:sectPr w:rsidR="00056D85" w:rsidSect="00432376">
          <w:type w:val="continuous"/>
          <w:pgSz w:w="12240" w:h="16340"/>
          <w:pgMar w:top="1163" w:right="875" w:bottom="659" w:left="1184" w:header="720" w:footer="720" w:gutter="0"/>
          <w:cols w:space="720"/>
          <w:noEndnote/>
        </w:sectPr>
      </w:pPr>
    </w:p>
    <w:p w:rsidR="00056D85" w:rsidRDefault="00056D85" w:rsidP="00056D85">
      <w:pPr>
        <w:pStyle w:val="Heading2"/>
      </w:pPr>
      <w:r>
        <w:lastRenderedPageBreak/>
        <w:t>Preliminary Assessment Evaluation</w:t>
      </w:r>
      <w:r w:rsidR="001A04B1">
        <w:t xml:space="preserve"> SAMPLE</w:t>
      </w:r>
    </w:p>
    <w:p w:rsidR="00C71587" w:rsidRDefault="00C71587" w:rsidP="00700030">
      <w:pPr>
        <w:pStyle w:val="Default"/>
      </w:pPr>
    </w:p>
    <w:tbl>
      <w:tblPr>
        <w:tblW w:w="145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0"/>
        <w:gridCol w:w="1260"/>
        <w:gridCol w:w="1350"/>
        <w:gridCol w:w="1530"/>
        <w:gridCol w:w="4320"/>
        <w:gridCol w:w="1620"/>
      </w:tblGrid>
      <w:tr w:rsidR="00C71587" w:rsidRPr="00700030" w:rsidTr="00B63A09">
        <w:tc>
          <w:tcPr>
            <w:tcW w:w="14580" w:type="dxa"/>
            <w:gridSpan w:val="6"/>
            <w:shd w:val="clear" w:color="auto" w:fill="auto"/>
          </w:tcPr>
          <w:p w:rsidR="00C71587" w:rsidRPr="00D14D59" w:rsidRDefault="00C71587" w:rsidP="00B63A09">
            <w:pPr>
              <w:ind w:left="0"/>
              <w:rPr>
                <w:b/>
              </w:rPr>
            </w:pPr>
            <w:r w:rsidRPr="00D14D59">
              <w:rPr>
                <w:b/>
                <w:smallCaps/>
              </w:rPr>
              <w:t>Note:</w:t>
            </w:r>
            <w:r w:rsidRPr="00D14D59">
              <w:rPr>
                <w:b/>
              </w:rPr>
              <w:t xml:space="preserve">  This form may be us</w:t>
            </w:r>
            <w:r w:rsidR="003A12CF">
              <w:rPr>
                <w:b/>
              </w:rPr>
              <w:t>ed for the review of multiple PA</w:t>
            </w:r>
            <w:r w:rsidRPr="00D14D59">
              <w:rPr>
                <w:b/>
              </w:rPr>
              <w:t>s</w:t>
            </w:r>
            <w:r>
              <w:rPr>
                <w:b/>
              </w:rPr>
              <w:t>, employing the optional R</w:t>
            </w:r>
            <w:r w:rsidRPr="00D14D59">
              <w:rPr>
                <w:b/>
              </w:rPr>
              <w:t>atings</w:t>
            </w:r>
            <w:r>
              <w:rPr>
                <w:b/>
              </w:rPr>
              <w:t xml:space="preserve"> column.</w:t>
            </w:r>
          </w:p>
        </w:tc>
      </w:tr>
      <w:tr w:rsidR="00C71587" w:rsidRPr="00700030" w:rsidTr="00B63A09">
        <w:tc>
          <w:tcPr>
            <w:tcW w:w="4500" w:type="dxa"/>
            <w:shd w:val="clear" w:color="auto" w:fill="auto"/>
          </w:tcPr>
          <w:p w:rsidR="00C71587" w:rsidRPr="00700030" w:rsidRDefault="00C71587" w:rsidP="00B63A09"/>
        </w:tc>
        <w:tc>
          <w:tcPr>
            <w:tcW w:w="1260" w:type="dxa"/>
            <w:shd w:val="clear" w:color="auto" w:fill="auto"/>
          </w:tcPr>
          <w:p w:rsidR="00C71587" w:rsidRPr="00700030" w:rsidRDefault="00C71587" w:rsidP="00B63A09">
            <w:pPr>
              <w:ind w:left="0"/>
              <w:rPr>
                <w:b/>
              </w:rPr>
            </w:pPr>
            <w:r w:rsidRPr="00700030">
              <w:rPr>
                <w:b/>
              </w:rPr>
              <w:t>M&amp;V Option</w:t>
            </w:r>
          </w:p>
        </w:tc>
        <w:tc>
          <w:tcPr>
            <w:tcW w:w="1350" w:type="dxa"/>
            <w:shd w:val="clear" w:color="auto" w:fill="auto"/>
          </w:tcPr>
          <w:p w:rsidR="00C71587" w:rsidRPr="00700030" w:rsidRDefault="00C71587" w:rsidP="00B63A09">
            <w:pPr>
              <w:ind w:left="0"/>
              <w:rPr>
                <w:b/>
              </w:rPr>
            </w:pPr>
            <w:r w:rsidRPr="00700030">
              <w:rPr>
                <w:b/>
              </w:rPr>
              <w:t>Acceptable</w:t>
            </w:r>
          </w:p>
        </w:tc>
        <w:tc>
          <w:tcPr>
            <w:tcW w:w="1530" w:type="dxa"/>
            <w:shd w:val="clear" w:color="auto" w:fill="auto"/>
          </w:tcPr>
          <w:p w:rsidR="00C71587" w:rsidRPr="00700030" w:rsidRDefault="00C71587" w:rsidP="00B63A09">
            <w:pPr>
              <w:ind w:left="0"/>
              <w:rPr>
                <w:b/>
              </w:rPr>
            </w:pPr>
            <w:r w:rsidRPr="00700030">
              <w:rPr>
                <w:b/>
              </w:rPr>
              <w:t xml:space="preserve">Unacceptable </w:t>
            </w:r>
          </w:p>
        </w:tc>
        <w:tc>
          <w:tcPr>
            <w:tcW w:w="4320" w:type="dxa"/>
            <w:shd w:val="clear" w:color="auto" w:fill="auto"/>
          </w:tcPr>
          <w:p w:rsidR="00C71587" w:rsidRPr="00700030" w:rsidRDefault="00C71587" w:rsidP="00B63A09">
            <w:pPr>
              <w:ind w:left="0"/>
              <w:rPr>
                <w:b/>
              </w:rPr>
            </w:pPr>
            <w:r w:rsidRPr="00700030">
              <w:rPr>
                <w:b/>
              </w:rPr>
              <w:t>Notes/Comments</w:t>
            </w:r>
          </w:p>
        </w:tc>
        <w:tc>
          <w:tcPr>
            <w:tcW w:w="1620" w:type="dxa"/>
            <w:shd w:val="clear" w:color="auto" w:fill="auto"/>
          </w:tcPr>
          <w:p w:rsidR="00C71587" w:rsidRDefault="00C71587" w:rsidP="00B63A09">
            <w:pPr>
              <w:ind w:left="0"/>
              <w:rPr>
                <w:b/>
              </w:rPr>
            </w:pPr>
            <w:r w:rsidRPr="00700030">
              <w:rPr>
                <w:b/>
              </w:rPr>
              <w:t>Ratings</w:t>
            </w:r>
            <w:r>
              <w:rPr>
                <w:b/>
              </w:rPr>
              <w:t xml:space="preserve"> (Optional)</w:t>
            </w:r>
            <w:r w:rsidRPr="00700030">
              <w:rPr>
                <w:b/>
              </w:rPr>
              <w:t xml:space="preserve">  </w:t>
            </w:r>
          </w:p>
          <w:p w:rsidR="00C71587" w:rsidRPr="00700030" w:rsidRDefault="00C71587" w:rsidP="00B63A09">
            <w:pPr>
              <w:shd w:val="clear" w:color="auto" w:fill="8DB3E2"/>
              <w:ind w:left="0"/>
              <w:rPr>
                <w:b/>
              </w:rPr>
            </w:pPr>
            <w:r w:rsidRPr="00700030">
              <w:rPr>
                <w:b/>
              </w:rPr>
              <w:t>Exceptional</w:t>
            </w:r>
          </w:p>
          <w:p w:rsidR="00C71587" w:rsidRPr="00700030" w:rsidRDefault="00C71587" w:rsidP="00B63A09">
            <w:pPr>
              <w:shd w:val="clear" w:color="auto" w:fill="92D050"/>
              <w:ind w:left="0"/>
              <w:rPr>
                <w:b/>
              </w:rPr>
            </w:pPr>
            <w:r w:rsidRPr="00700030">
              <w:rPr>
                <w:b/>
              </w:rPr>
              <w:t>Good</w:t>
            </w:r>
          </w:p>
          <w:p w:rsidR="00C71587" w:rsidRPr="00700030" w:rsidRDefault="00C71587" w:rsidP="00B63A09">
            <w:pPr>
              <w:shd w:val="clear" w:color="auto" w:fill="FFFF00"/>
              <w:ind w:left="0"/>
              <w:rPr>
                <w:b/>
              </w:rPr>
            </w:pPr>
            <w:r w:rsidRPr="00700030">
              <w:rPr>
                <w:b/>
              </w:rPr>
              <w:t>Satisfactory</w:t>
            </w:r>
          </w:p>
          <w:p w:rsidR="00C71587" w:rsidRDefault="00C71587" w:rsidP="00B63A09">
            <w:pPr>
              <w:shd w:val="clear" w:color="auto" w:fill="FABF8F"/>
              <w:ind w:left="0"/>
              <w:rPr>
                <w:b/>
              </w:rPr>
            </w:pPr>
            <w:r w:rsidRPr="00700030">
              <w:rPr>
                <w:b/>
              </w:rPr>
              <w:t>Marginal</w:t>
            </w:r>
          </w:p>
          <w:p w:rsidR="00C71587" w:rsidRPr="00700030" w:rsidRDefault="00C71587" w:rsidP="00B63A09">
            <w:pPr>
              <w:ind w:left="0"/>
              <w:rPr>
                <w:b/>
              </w:rPr>
            </w:pPr>
            <w:r w:rsidRPr="00700030">
              <w:rPr>
                <w:b/>
                <w:shd w:val="clear" w:color="auto" w:fill="FF0000"/>
              </w:rPr>
              <w:t>Unacceptable</w:t>
            </w:r>
          </w:p>
        </w:tc>
      </w:tr>
      <w:tr w:rsidR="00C71587" w:rsidRPr="00700030" w:rsidTr="00B63A09">
        <w:tc>
          <w:tcPr>
            <w:tcW w:w="14580" w:type="dxa"/>
            <w:gridSpan w:val="6"/>
            <w:shd w:val="clear" w:color="auto" w:fill="auto"/>
          </w:tcPr>
          <w:p w:rsidR="00C71587" w:rsidRPr="00EE69B3" w:rsidRDefault="00C71587" w:rsidP="00B63A09">
            <w:pPr>
              <w:spacing w:before="120" w:after="120"/>
              <w:ind w:left="0"/>
              <w:rPr>
                <w:b/>
              </w:rPr>
            </w:pPr>
            <w:r w:rsidRPr="00EE69B3">
              <w:rPr>
                <w:b/>
                <w:u w:val="single"/>
              </w:rPr>
              <w:t>Project Review</w:t>
            </w:r>
          </w:p>
        </w:tc>
      </w:tr>
      <w:tr w:rsidR="00C71587" w:rsidRPr="00700030" w:rsidTr="00B63A09">
        <w:tc>
          <w:tcPr>
            <w:tcW w:w="4500" w:type="dxa"/>
            <w:shd w:val="clear" w:color="auto" w:fill="auto"/>
          </w:tcPr>
          <w:p w:rsidR="00C71587" w:rsidRPr="00EE69B3" w:rsidRDefault="00C71587" w:rsidP="00B63A09">
            <w:pPr>
              <w:numPr>
                <w:ilvl w:val="0"/>
                <w:numId w:val="17"/>
              </w:numPr>
              <w:rPr>
                <w:b/>
              </w:rPr>
            </w:pPr>
            <w:r w:rsidRPr="00EE69B3">
              <w:rPr>
                <w:b/>
              </w:rPr>
              <w:t>Financial Factors:</w:t>
            </w:r>
          </w:p>
        </w:tc>
        <w:tc>
          <w:tcPr>
            <w:tcW w:w="1260" w:type="dxa"/>
            <w:shd w:val="clear" w:color="auto" w:fill="auto"/>
          </w:tcPr>
          <w:p w:rsidR="00C71587" w:rsidRPr="00700030" w:rsidRDefault="00C71587" w:rsidP="00B63A09"/>
        </w:tc>
        <w:tc>
          <w:tcPr>
            <w:tcW w:w="1350" w:type="dxa"/>
            <w:shd w:val="clear" w:color="auto" w:fill="auto"/>
          </w:tcPr>
          <w:p w:rsidR="00C71587" w:rsidRPr="00700030" w:rsidRDefault="00C71587" w:rsidP="00C71587">
            <w:pPr>
              <w:ind w:left="0"/>
            </w:pPr>
            <w:r w:rsidRPr="00700030">
              <w:t>Yes</w:t>
            </w:r>
          </w:p>
        </w:tc>
        <w:tc>
          <w:tcPr>
            <w:tcW w:w="1530" w:type="dxa"/>
            <w:shd w:val="clear" w:color="auto" w:fill="auto"/>
          </w:tcPr>
          <w:p w:rsidR="00C71587" w:rsidRPr="00700030" w:rsidRDefault="00C71587" w:rsidP="00B63A09"/>
        </w:tc>
        <w:tc>
          <w:tcPr>
            <w:tcW w:w="4320" w:type="dxa"/>
            <w:shd w:val="clear" w:color="auto" w:fill="auto"/>
          </w:tcPr>
          <w:p w:rsidR="00C71587" w:rsidRPr="00700030" w:rsidRDefault="00C71587" w:rsidP="00C71587">
            <w:pPr>
              <w:ind w:left="0"/>
            </w:pPr>
            <w:r w:rsidRPr="00700030">
              <w:t>ESCO is liable</w:t>
            </w:r>
          </w:p>
        </w:tc>
        <w:tc>
          <w:tcPr>
            <w:tcW w:w="1620" w:type="dxa"/>
            <w:shd w:val="clear" w:color="auto" w:fill="auto"/>
          </w:tcPr>
          <w:p w:rsidR="00C71587" w:rsidRPr="00700030" w:rsidRDefault="00C71587" w:rsidP="00B63A09"/>
        </w:tc>
      </w:tr>
      <w:tr w:rsidR="00C71587" w:rsidRPr="00700030" w:rsidTr="00B63A09">
        <w:tc>
          <w:tcPr>
            <w:tcW w:w="4500" w:type="dxa"/>
            <w:shd w:val="clear" w:color="auto" w:fill="auto"/>
          </w:tcPr>
          <w:p w:rsidR="00C71587" w:rsidRPr="00EE69B3" w:rsidRDefault="00C71587" w:rsidP="00B63A09">
            <w:pPr>
              <w:numPr>
                <w:ilvl w:val="0"/>
                <w:numId w:val="17"/>
              </w:numPr>
              <w:rPr>
                <w:b/>
              </w:rPr>
            </w:pPr>
            <w:r w:rsidRPr="00EE69B3">
              <w:rPr>
                <w:b/>
              </w:rPr>
              <w:t>Operational Factors:</w:t>
            </w:r>
          </w:p>
        </w:tc>
        <w:tc>
          <w:tcPr>
            <w:tcW w:w="1260" w:type="dxa"/>
            <w:shd w:val="clear" w:color="auto" w:fill="auto"/>
          </w:tcPr>
          <w:p w:rsidR="00C71587" w:rsidRPr="00700030" w:rsidRDefault="00C71587" w:rsidP="00B63A09"/>
        </w:tc>
        <w:tc>
          <w:tcPr>
            <w:tcW w:w="1350" w:type="dxa"/>
            <w:shd w:val="clear" w:color="auto" w:fill="auto"/>
          </w:tcPr>
          <w:p w:rsidR="00C71587" w:rsidRPr="00700030" w:rsidRDefault="00C71587" w:rsidP="00C71587">
            <w:pPr>
              <w:ind w:left="0"/>
            </w:pPr>
          </w:p>
        </w:tc>
        <w:tc>
          <w:tcPr>
            <w:tcW w:w="1530" w:type="dxa"/>
            <w:shd w:val="clear" w:color="auto" w:fill="auto"/>
          </w:tcPr>
          <w:p w:rsidR="00C71587" w:rsidRPr="00700030" w:rsidRDefault="00C71587" w:rsidP="00C71587">
            <w:pPr>
              <w:ind w:left="0"/>
            </w:pPr>
            <w:r w:rsidRPr="00700030">
              <w:t>No</w:t>
            </w:r>
          </w:p>
        </w:tc>
        <w:tc>
          <w:tcPr>
            <w:tcW w:w="4320" w:type="dxa"/>
            <w:shd w:val="clear" w:color="auto" w:fill="auto"/>
          </w:tcPr>
          <w:p w:rsidR="00C71587" w:rsidRPr="00700030" w:rsidRDefault="00C71587" w:rsidP="00C71587">
            <w:pPr>
              <w:ind w:left="0"/>
            </w:pPr>
            <w:r w:rsidRPr="00700030">
              <w:t>Site will provide operation and maintenance.  Acceptable remedy for savings shortfall needs to be discussed.</w:t>
            </w:r>
          </w:p>
        </w:tc>
        <w:tc>
          <w:tcPr>
            <w:tcW w:w="1620" w:type="dxa"/>
            <w:shd w:val="clear" w:color="auto" w:fill="auto"/>
          </w:tcPr>
          <w:p w:rsidR="00C71587" w:rsidRPr="00700030" w:rsidRDefault="00C71587" w:rsidP="00B63A09"/>
        </w:tc>
      </w:tr>
      <w:tr w:rsidR="00C71587" w:rsidRPr="00700030" w:rsidTr="00B63A09">
        <w:tc>
          <w:tcPr>
            <w:tcW w:w="4500" w:type="dxa"/>
            <w:shd w:val="clear" w:color="auto" w:fill="auto"/>
          </w:tcPr>
          <w:p w:rsidR="00C71587" w:rsidRPr="00EE69B3" w:rsidRDefault="00C71587" w:rsidP="00B63A09">
            <w:pPr>
              <w:numPr>
                <w:ilvl w:val="0"/>
                <w:numId w:val="17"/>
              </w:numPr>
              <w:rPr>
                <w:b/>
              </w:rPr>
            </w:pPr>
            <w:r w:rsidRPr="00EE69B3">
              <w:rPr>
                <w:b/>
              </w:rPr>
              <w:t>Performance Factors</w:t>
            </w:r>
            <w:r>
              <w:rPr>
                <w:b/>
              </w:rPr>
              <w:t>:</w:t>
            </w:r>
          </w:p>
        </w:tc>
        <w:tc>
          <w:tcPr>
            <w:tcW w:w="1260" w:type="dxa"/>
            <w:shd w:val="clear" w:color="auto" w:fill="auto"/>
          </w:tcPr>
          <w:p w:rsidR="00C71587" w:rsidRPr="00700030" w:rsidRDefault="00C71587" w:rsidP="00B63A09"/>
        </w:tc>
        <w:tc>
          <w:tcPr>
            <w:tcW w:w="1350" w:type="dxa"/>
            <w:shd w:val="clear" w:color="auto" w:fill="auto"/>
          </w:tcPr>
          <w:p w:rsidR="00C71587" w:rsidRPr="00700030" w:rsidRDefault="00C71587" w:rsidP="00C71587">
            <w:pPr>
              <w:ind w:left="0"/>
            </w:pPr>
            <w:r w:rsidRPr="00700030">
              <w:t xml:space="preserve">Yes </w:t>
            </w:r>
          </w:p>
        </w:tc>
        <w:tc>
          <w:tcPr>
            <w:tcW w:w="1530" w:type="dxa"/>
            <w:shd w:val="clear" w:color="auto" w:fill="auto"/>
          </w:tcPr>
          <w:p w:rsidR="00C71587" w:rsidRPr="00700030" w:rsidRDefault="00C71587" w:rsidP="00B63A09"/>
        </w:tc>
        <w:tc>
          <w:tcPr>
            <w:tcW w:w="4320" w:type="dxa"/>
            <w:shd w:val="clear" w:color="auto" w:fill="auto"/>
          </w:tcPr>
          <w:p w:rsidR="00C71587" w:rsidRPr="00700030" w:rsidRDefault="00C71587" w:rsidP="00C71587">
            <w:pPr>
              <w:ind w:left="0"/>
            </w:pPr>
            <w:r w:rsidRPr="00700030">
              <w:t>ESCO will provide site with maintenance checklist and remedy for savings shortfalls.</w:t>
            </w:r>
          </w:p>
        </w:tc>
        <w:tc>
          <w:tcPr>
            <w:tcW w:w="1620" w:type="dxa"/>
            <w:shd w:val="clear" w:color="auto" w:fill="auto"/>
          </w:tcPr>
          <w:p w:rsidR="00C71587" w:rsidRPr="00700030" w:rsidRDefault="00C71587" w:rsidP="00B63A09"/>
        </w:tc>
      </w:tr>
      <w:tr w:rsidR="00C71587" w:rsidRPr="00700030" w:rsidTr="00B63A09">
        <w:tc>
          <w:tcPr>
            <w:tcW w:w="4500" w:type="dxa"/>
            <w:shd w:val="clear" w:color="auto" w:fill="auto"/>
          </w:tcPr>
          <w:p w:rsidR="00C71587" w:rsidRPr="00700030" w:rsidRDefault="00C71587" w:rsidP="00B63A09">
            <w:pPr>
              <w:numPr>
                <w:ilvl w:val="0"/>
                <w:numId w:val="17"/>
              </w:numPr>
            </w:pPr>
            <w:r w:rsidRPr="00700030">
              <w:rPr>
                <w:b/>
              </w:rPr>
              <w:t>Technical Approach</w:t>
            </w:r>
            <w:r>
              <w:rPr>
                <w:b/>
              </w:rPr>
              <w:t>:</w:t>
            </w:r>
          </w:p>
        </w:tc>
        <w:tc>
          <w:tcPr>
            <w:tcW w:w="1260" w:type="dxa"/>
            <w:shd w:val="clear" w:color="auto" w:fill="auto"/>
          </w:tcPr>
          <w:p w:rsidR="00C71587" w:rsidRPr="00700030" w:rsidRDefault="00C71587" w:rsidP="00B63A09"/>
        </w:tc>
        <w:tc>
          <w:tcPr>
            <w:tcW w:w="1350" w:type="dxa"/>
            <w:shd w:val="clear" w:color="auto" w:fill="auto"/>
          </w:tcPr>
          <w:p w:rsidR="00C71587" w:rsidRPr="00700030" w:rsidRDefault="00C71587" w:rsidP="00B63A09"/>
        </w:tc>
        <w:tc>
          <w:tcPr>
            <w:tcW w:w="1530" w:type="dxa"/>
            <w:shd w:val="clear" w:color="auto" w:fill="auto"/>
          </w:tcPr>
          <w:p w:rsidR="00C71587" w:rsidRPr="00700030" w:rsidRDefault="00C71587" w:rsidP="00B63A09"/>
        </w:tc>
        <w:tc>
          <w:tcPr>
            <w:tcW w:w="4320" w:type="dxa"/>
            <w:shd w:val="clear" w:color="auto" w:fill="auto"/>
          </w:tcPr>
          <w:p w:rsidR="00C71587" w:rsidRPr="00700030" w:rsidRDefault="00C71587" w:rsidP="00B63A09"/>
        </w:tc>
        <w:tc>
          <w:tcPr>
            <w:tcW w:w="1620" w:type="dxa"/>
            <w:shd w:val="clear" w:color="auto" w:fill="auto"/>
          </w:tcPr>
          <w:p w:rsidR="00C71587" w:rsidRPr="00700030" w:rsidRDefault="00C71587" w:rsidP="00B63A09">
            <w:pPr>
              <w:ind w:left="0"/>
            </w:pPr>
          </w:p>
        </w:tc>
      </w:tr>
      <w:tr w:rsidR="00C71587" w:rsidRPr="00700030" w:rsidTr="00B63A09">
        <w:tc>
          <w:tcPr>
            <w:tcW w:w="14580" w:type="dxa"/>
            <w:gridSpan w:val="6"/>
            <w:shd w:val="clear" w:color="auto" w:fill="auto"/>
          </w:tcPr>
          <w:p w:rsidR="00C71587" w:rsidRPr="00700030" w:rsidRDefault="00C71587" w:rsidP="00B63A09">
            <w:pPr>
              <w:spacing w:before="120" w:after="120"/>
              <w:ind w:left="0"/>
            </w:pPr>
            <w:r w:rsidRPr="00700030">
              <w:rPr>
                <w:b/>
                <w:u w:val="single"/>
              </w:rPr>
              <w:t xml:space="preserve">Technical Assessment </w:t>
            </w:r>
            <w:r w:rsidRPr="00EE69B3">
              <w:rPr>
                <w:i/>
              </w:rPr>
              <w:t>(</w:t>
            </w:r>
            <w:r w:rsidRPr="00700030">
              <w:rPr>
                <w:i/>
              </w:rPr>
              <w:t>overall compliance with H.4</w:t>
            </w:r>
            <w:r>
              <w:rPr>
                <w:i/>
              </w:rPr>
              <w:t>)</w:t>
            </w:r>
            <w:r w:rsidRPr="00700030">
              <w:rPr>
                <w:b/>
              </w:rPr>
              <w:t xml:space="preserve">  </w:t>
            </w:r>
          </w:p>
        </w:tc>
      </w:tr>
      <w:tr w:rsidR="00C71587" w:rsidRPr="00700030" w:rsidTr="00B63A09">
        <w:tc>
          <w:tcPr>
            <w:tcW w:w="4500" w:type="dxa"/>
            <w:shd w:val="clear" w:color="auto" w:fill="auto"/>
          </w:tcPr>
          <w:p w:rsidR="00C71587" w:rsidRDefault="00C71587" w:rsidP="00C71587">
            <w:pPr>
              <w:numPr>
                <w:ilvl w:val="0"/>
                <w:numId w:val="17"/>
              </w:numPr>
            </w:pPr>
            <w:r w:rsidRPr="00C71587">
              <w:t>ECM Description</w:t>
            </w:r>
          </w:p>
        </w:tc>
        <w:tc>
          <w:tcPr>
            <w:tcW w:w="1260" w:type="dxa"/>
            <w:shd w:val="clear" w:color="auto" w:fill="auto"/>
          </w:tcPr>
          <w:p w:rsidR="00C71587" w:rsidRPr="00700030" w:rsidRDefault="00C71587" w:rsidP="00B63A09"/>
        </w:tc>
        <w:tc>
          <w:tcPr>
            <w:tcW w:w="1350" w:type="dxa"/>
            <w:shd w:val="clear" w:color="auto" w:fill="auto"/>
          </w:tcPr>
          <w:p w:rsidR="00C71587" w:rsidRPr="00700030" w:rsidRDefault="00C71587" w:rsidP="00B63A09"/>
        </w:tc>
        <w:tc>
          <w:tcPr>
            <w:tcW w:w="1530" w:type="dxa"/>
            <w:shd w:val="clear" w:color="auto" w:fill="auto"/>
          </w:tcPr>
          <w:p w:rsidR="00C71587" w:rsidRPr="00700030" w:rsidRDefault="00C71587" w:rsidP="00B63A09"/>
        </w:tc>
        <w:tc>
          <w:tcPr>
            <w:tcW w:w="4320" w:type="dxa"/>
            <w:shd w:val="clear" w:color="auto" w:fill="auto"/>
          </w:tcPr>
          <w:p w:rsidR="00C71587" w:rsidRPr="00700030" w:rsidRDefault="00C71587" w:rsidP="00B63A09"/>
        </w:tc>
        <w:tc>
          <w:tcPr>
            <w:tcW w:w="1620" w:type="dxa"/>
            <w:shd w:val="clear" w:color="auto" w:fill="auto"/>
          </w:tcPr>
          <w:p w:rsidR="00C71587" w:rsidRPr="00700030" w:rsidRDefault="00C71587" w:rsidP="00B63A09"/>
        </w:tc>
      </w:tr>
      <w:tr w:rsidR="00C71587" w:rsidRPr="00700030" w:rsidTr="00B63A09">
        <w:tc>
          <w:tcPr>
            <w:tcW w:w="4500" w:type="dxa"/>
            <w:shd w:val="clear" w:color="auto" w:fill="auto"/>
          </w:tcPr>
          <w:p w:rsidR="00C71587" w:rsidRPr="00700030" w:rsidRDefault="00C71587" w:rsidP="00B63A09">
            <w:pPr>
              <w:ind w:left="0"/>
              <w:rPr>
                <w:i/>
              </w:rPr>
            </w:pPr>
            <w:r>
              <w:t xml:space="preserve"> </w:t>
            </w:r>
            <w:r w:rsidRPr="00700030">
              <w:t xml:space="preserve">TC.1 Boiler Plant Improvements   </w:t>
            </w:r>
          </w:p>
        </w:tc>
        <w:tc>
          <w:tcPr>
            <w:tcW w:w="1260" w:type="dxa"/>
            <w:shd w:val="clear" w:color="auto" w:fill="auto"/>
          </w:tcPr>
          <w:p w:rsidR="00C71587" w:rsidRPr="00700030" w:rsidRDefault="00C71587" w:rsidP="00B63A09"/>
        </w:tc>
        <w:tc>
          <w:tcPr>
            <w:tcW w:w="1350" w:type="dxa"/>
            <w:shd w:val="clear" w:color="auto" w:fill="auto"/>
          </w:tcPr>
          <w:p w:rsidR="00C71587" w:rsidRPr="00700030" w:rsidRDefault="00C71587" w:rsidP="00B63A09"/>
        </w:tc>
        <w:tc>
          <w:tcPr>
            <w:tcW w:w="1530" w:type="dxa"/>
            <w:shd w:val="clear" w:color="auto" w:fill="auto"/>
          </w:tcPr>
          <w:p w:rsidR="00C71587" w:rsidRPr="00700030" w:rsidRDefault="00C71587" w:rsidP="00B63A09"/>
        </w:tc>
        <w:tc>
          <w:tcPr>
            <w:tcW w:w="4320" w:type="dxa"/>
            <w:shd w:val="clear" w:color="auto" w:fill="auto"/>
          </w:tcPr>
          <w:p w:rsidR="00C71587" w:rsidRPr="00700030" w:rsidRDefault="00C71587" w:rsidP="00B63A09"/>
        </w:tc>
        <w:tc>
          <w:tcPr>
            <w:tcW w:w="1620" w:type="dxa"/>
            <w:shd w:val="clear" w:color="auto" w:fill="auto"/>
          </w:tcPr>
          <w:p w:rsidR="00C71587" w:rsidRPr="00700030" w:rsidRDefault="00C71587" w:rsidP="00B63A09"/>
        </w:tc>
      </w:tr>
      <w:tr w:rsidR="00C71587" w:rsidRPr="00700030" w:rsidTr="00B63A09">
        <w:tc>
          <w:tcPr>
            <w:tcW w:w="4500" w:type="dxa"/>
            <w:shd w:val="clear" w:color="auto" w:fill="auto"/>
          </w:tcPr>
          <w:p w:rsidR="00C71587" w:rsidRDefault="00C71587" w:rsidP="00C71587">
            <w:pPr>
              <w:numPr>
                <w:ilvl w:val="0"/>
                <w:numId w:val="17"/>
              </w:numPr>
            </w:pPr>
            <w:r w:rsidRPr="00C71587">
              <w:t>M&amp;V Option/Approach</w:t>
            </w:r>
          </w:p>
        </w:tc>
        <w:tc>
          <w:tcPr>
            <w:tcW w:w="1260" w:type="dxa"/>
            <w:shd w:val="clear" w:color="auto" w:fill="auto"/>
          </w:tcPr>
          <w:p w:rsidR="00C71587" w:rsidRPr="00700030" w:rsidRDefault="00C71587" w:rsidP="00C71587">
            <w:pPr>
              <w:ind w:left="0"/>
            </w:pPr>
            <w:r w:rsidRPr="00700030">
              <w:t>Option B</w:t>
            </w:r>
          </w:p>
        </w:tc>
        <w:tc>
          <w:tcPr>
            <w:tcW w:w="1350" w:type="dxa"/>
            <w:shd w:val="clear" w:color="auto" w:fill="auto"/>
          </w:tcPr>
          <w:p w:rsidR="00C71587" w:rsidRPr="00700030" w:rsidRDefault="00C71587" w:rsidP="00C71587">
            <w:pPr>
              <w:ind w:left="0"/>
            </w:pPr>
            <w:r w:rsidRPr="00700030">
              <w:t>Yes</w:t>
            </w:r>
          </w:p>
        </w:tc>
        <w:tc>
          <w:tcPr>
            <w:tcW w:w="1530" w:type="dxa"/>
            <w:shd w:val="clear" w:color="auto" w:fill="auto"/>
          </w:tcPr>
          <w:p w:rsidR="00C71587" w:rsidRPr="00700030" w:rsidRDefault="00C71587" w:rsidP="00B63A09"/>
        </w:tc>
        <w:tc>
          <w:tcPr>
            <w:tcW w:w="4320" w:type="dxa"/>
            <w:shd w:val="clear" w:color="auto" w:fill="auto"/>
          </w:tcPr>
          <w:p w:rsidR="00C71587" w:rsidRPr="00700030" w:rsidRDefault="00C71587" w:rsidP="00C71587">
            <w:pPr>
              <w:ind w:left="0"/>
            </w:pPr>
            <w:r w:rsidRPr="00700030">
              <w:t>IAW M&amp;V Guidance 3.0</w:t>
            </w:r>
          </w:p>
        </w:tc>
        <w:tc>
          <w:tcPr>
            <w:tcW w:w="1620" w:type="dxa"/>
            <w:shd w:val="clear" w:color="auto" w:fill="auto"/>
          </w:tcPr>
          <w:p w:rsidR="00C71587" w:rsidRPr="00700030" w:rsidRDefault="00C71587" w:rsidP="00B63A09"/>
        </w:tc>
      </w:tr>
      <w:tr w:rsidR="00C71587" w:rsidRPr="00700030" w:rsidTr="00B63A09">
        <w:tc>
          <w:tcPr>
            <w:tcW w:w="4500" w:type="dxa"/>
            <w:shd w:val="clear" w:color="auto" w:fill="auto"/>
          </w:tcPr>
          <w:p w:rsidR="00C71587" w:rsidRPr="00700030" w:rsidRDefault="00C71587" w:rsidP="00B63A09">
            <w:pPr>
              <w:ind w:left="0"/>
              <w:rPr>
                <w:i/>
              </w:rPr>
            </w:pPr>
            <w:r w:rsidRPr="00700030">
              <w:t>TC.2 Chiller Plant Improvements</w:t>
            </w:r>
          </w:p>
        </w:tc>
        <w:tc>
          <w:tcPr>
            <w:tcW w:w="1260" w:type="dxa"/>
            <w:shd w:val="clear" w:color="auto" w:fill="auto"/>
          </w:tcPr>
          <w:p w:rsidR="00C71587" w:rsidRPr="00700030" w:rsidRDefault="00C71587" w:rsidP="00C71587">
            <w:pPr>
              <w:ind w:left="0"/>
            </w:pPr>
            <w:r w:rsidRPr="00700030">
              <w:t>Option A</w:t>
            </w:r>
          </w:p>
        </w:tc>
        <w:tc>
          <w:tcPr>
            <w:tcW w:w="1350" w:type="dxa"/>
            <w:shd w:val="clear" w:color="auto" w:fill="auto"/>
          </w:tcPr>
          <w:p w:rsidR="00C71587" w:rsidRPr="00700030" w:rsidRDefault="00C71587" w:rsidP="00B63A09"/>
        </w:tc>
        <w:tc>
          <w:tcPr>
            <w:tcW w:w="1530" w:type="dxa"/>
            <w:shd w:val="clear" w:color="auto" w:fill="auto"/>
          </w:tcPr>
          <w:p w:rsidR="00C71587" w:rsidRPr="00700030" w:rsidRDefault="00C71587" w:rsidP="00C71587">
            <w:pPr>
              <w:ind w:left="0"/>
            </w:pPr>
            <w:r w:rsidRPr="00700030">
              <w:t>Yes</w:t>
            </w:r>
          </w:p>
        </w:tc>
        <w:tc>
          <w:tcPr>
            <w:tcW w:w="4320" w:type="dxa"/>
            <w:shd w:val="clear" w:color="auto" w:fill="auto"/>
          </w:tcPr>
          <w:p w:rsidR="00C71587" w:rsidRPr="00700030" w:rsidRDefault="00C71587" w:rsidP="00C71587">
            <w:pPr>
              <w:ind w:left="0"/>
            </w:pPr>
            <w:r w:rsidRPr="00700030">
              <w:t>Option A represents stipulated operational hours.  Site needs more aggressive M&amp;V.  See M&amp;V Guidance 3.0.</w:t>
            </w:r>
          </w:p>
        </w:tc>
        <w:tc>
          <w:tcPr>
            <w:tcW w:w="1620" w:type="dxa"/>
            <w:shd w:val="clear" w:color="auto" w:fill="auto"/>
          </w:tcPr>
          <w:p w:rsidR="00C71587" w:rsidRPr="00700030" w:rsidRDefault="00C71587" w:rsidP="00B63A09"/>
        </w:tc>
      </w:tr>
      <w:tr w:rsidR="00C71587" w:rsidRPr="00700030" w:rsidTr="00B63A09">
        <w:tc>
          <w:tcPr>
            <w:tcW w:w="14580" w:type="dxa"/>
            <w:gridSpan w:val="6"/>
            <w:shd w:val="clear" w:color="auto" w:fill="auto"/>
          </w:tcPr>
          <w:p w:rsidR="00C71587" w:rsidRPr="00700030" w:rsidRDefault="00C71587" w:rsidP="00B63A09">
            <w:pPr>
              <w:numPr>
                <w:ilvl w:val="0"/>
                <w:numId w:val="17"/>
              </w:numPr>
            </w:pPr>
            <w:r w:rsidRPr="00700030">
              <w:rPr>
                <w:b/>
              </w:rPr>
              <w:t>Risk, Responsibility and Performance Matrix</w:t>
            </w:r>
            <w:r w:rsidR="0033773C">
              <w:rPr>
                <w:b/>
              </w:rPr>
              <w:t xml:space="preserve"> (RRPM)</w:t>
            </w:r>
          </w:p>
        </w:tc>
      </w:tr>
      <w:tr w:rsidR="00C71587" w:rsidRPr="00700030" w:rsidTr="00B63A09">
        <w:tc>
          <w:tcPr>
            <w:tcW w:w="4500" w:type="dxa"/>
            <w:shd w:val="clear" w:color="auto" w:fill="auto"/>
          </w:tcPr>
          <w:p w:rsidR="00C71587" w:rsidRPr="00700030" w:rsidRDefault="00C71587" w:rsidP="00B63A09">
            <w:pPr>
              <w:ind w:left="0"/>
              <w:rPr>
                <w:i/>
              </w:rPr>
            </w:pPr>
            <w:r w:rsidRPr="00700030">
              <w:t xml:space="preserve"> </w:t>
            </w:r>
            <w:r w:rsidRPr="00700030">
              <w:rPr>
                <w:i/>
              </w:rPr>
              <w:t>Identify any component in each of the RRPM that will affect responsibility and costs to the Government</w:t>
            </w:r>
          </w:p>
        </w:tc>
        <w:tc>
          <w:tcPr>
            <w:tcW w:w="1260" w:type="dxa"/>
            <w:shd w:val="clear" w:color="auto" w:fill="auto"/>
          </w:tcPr>
          <w:p w:rsidR="00C71587" w:rsidRPr="00700030" w:rsidRDefault="00C71587" w:rsidP="00B63A09"/>
        </w:tc>
        <w:tc>
          <w:tcPr>
            <w:tcW w:w="1350" w:type="dxa"/>
            <w:shd w:val="clear" w:color="auto" w:fill="auto"/>
          </w:tcPr>
          <w:p w:rsidR="00C71587" w:rsidRPr="00700030" w:rsidRDefault="00C71587" w:rsidP="00B63A09"/>
        </w:tc>
        <w:tc>
          <w:tcPr>
            <w:tcW w:w="1530" w:type="dxa"/>
            <w:shd w:val="clear" w:color="auto" w:fill="auto"/>
          </w:tcPr>
          <w:p w:rsidR="00C71587" w:rsidRPr="00700030" w:rsidRDefault="00C71587" w:rsidP="00B63A09"/>
        </w:tc>
        <w:tc>
          <w:tcPr>
            <w:tcW w:w="4320" w:type="dxa"/>
            <w:shd w:val="clear" w:color="auto" w:fill="auto"/>
          </w:tcPr>
          <w:p w:rsidR="00C71587" w:rsidRPr="00700030" w:rsidRDefault="00C71587" w:rsidP="00B63A09"/>
        </w:tc>
        <w:tc>
          <w:tcPr>
            <w:tcW w:w="1620" w:type="dxa"/>
            <w:shd w:val="clear" w:color="auto" w:fill="auto"/>
          </w:tcPr>
          <w:p w:rsidR="00C71587" w:rsidRPr="00700030" w:rsidRDefault="00C71587" w:rsidP="00B63A09"/>
        </w:tc>
      </w:tr>
    </w:tbl>
    <w:p w:rsidR="00700030" w:rsidRPr="00700030" w:rsidRDefault="00700030" w:rsidP="00503A0F">
      <w:pPr>
        <w:pStyle w:val="Default"/>
      </w:pPr>
    </w:p>
    <w:sectPr w:rsidR="00700030" w:rsidRPr="00700030" w:rsidSect="00700030">
      <w:pgSz w:w="16340" w:h="12240" w:orient="landscape"/>
      <w:pgMar w:top="1184" w:right="1163" w:bottom="875" w:left="659"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839" w:rsidRDefault="002F7839" w:rsidP="0003119C">
      <w:r>
        <w:separator/>
      </w:r>
    </w:p>
  </w:endnote>
  <w:endnote w:type="continuationSeparator" w:id="0">
    <w:p w:rsidR="002F7839" w:rsidRDefault="002F7839" w:rsidP="000311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69663"/>
      <w:docPartObj>
        <w:docPartGallery w:val="Page Numbers (Bottom of Page)"/>
        <w:docPartUnique/>
      </w:docPartObj>
    </w:sdtPr>
    <w:sdtContent>
      <w:sdt>
        <w:sdtPr>
          <w:id w:val="18869664"/>
          <w:docPartObj>
            <w:docPartGallery w:val="Page Numbers (Top of Page)"/>
            <w:docPartUnique/>
          </w:docPartObj>
        </w:sdtPr>
        <w:sdtContent>
          <w:p w:rsidR="001A04B1" w:rsidRDefault="00E554DD">
            <w:pPr>
              <w:pStyle w:val="Footer"/>
              <w:jc w:val="right"/>
            </w:pPr>
            <w:r>
              <w:t>Form Revised 04/01/</w:t>
            </w:r>
            <w:r w:rsidR="001A04B1">
              <w:t>2011</w:t>
            </w:r>
            <w:r w:rsidR="001A04B1">
              <w:tab/>
            </w:r>
            <w:r w:rsidR="001A04B1">
              <w:tab/>
              <w:t xml:space="preserve">Page </w:t>
            </w:r>
            <w:r w:rsidR="007E0815">
              <w:rPr>
                <w:b/>
                <w:sz w:val="24"/>
                <w:szCs w:val="24"/>
              </w:rPr>
              <w:fldChar w:fldCharType="begin"/>
            </w:r>
            <w:r w:rsidR="001A04B1">
              <w:rPr>
                <w:b/>
              </w:rPr>
              <w:instrText xml:space="preserve"> PAGE </w:instrText>
            </w:r>
            <w:r w:rsidR="007E0815">
              <w:rPr>
                <w:b/>
                <w:sz w:val="24"/>
                <w:szCs w:val="24"/>
              </w:rPr>
              <w:fldChar w:fldCharType="separate"/>
            </w:r>
            <w:r>
              <w:rPr>
                <w:b/>
                <w:noProof/>
              </w:rPr>
              <w:t>2</w:t>
            </w:r>
            <w:r w:rsidR="007E0815">
              <w:rPr>
                <w:b/>
                <w:sz w:val="24"/>
                <w:szCs w:val="24"/>
              </w:rPr>
              <w:fldChar w:fldCharType="end"/>
            </w:r>
            <w:r w:rsidR="001A04B1">
              <w:t xml:space="preserve"> of </w:t>
            </w:r>
            <w:r w:rsidR="007E0815">
              <w:rPr>
                <w:b/>
                <w:sz w:val="24"/>
                <w:szCs w:val="24"/>
              </w:rPr>
              <w:fldChar w:fldCharType="begin"/>
            </w:r>
            <w:r w:rsidR="001A04B1">
              <w:rPr>
                <w:b/>
              </w:rPr>
              <w:instrText xml:space="preserve"> NUMPAGES  </w:instrText>
            </w:r>
            <w:r w:rsidR="007E0815">
              <w:rPr>
                <w:b/>
                <w:sz w:val="24"/>
                <w:szCs w:val="24"/>
              </w:rPr>
              <w:fldChar w:fldCharType="separate"/>
            </w:r>
            <w:r>
              <w:rPr>
                <w:b/>
                <w:noProof/>
              </w:rPr>
              <w:t>6</w:t>
            </w:r>
            <w:r w:rsidR="007E0815">
              <w:rPr>
                <w:b/>
                <w:sz w:val="24"/>
                <w:szCs w:val="24"/>
              </w:rPr>
              <w:fldChar w:fldCharType="end"/>
            </w:r>
          </w:p>
        </w:sdtContent>
      </w:sdt>
    </w:sdtContent>
  </w:sdt>
  <w:p w:rsidR="001A04B1" w:rsidRDefault="001A04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20343"/>
      <w:docPartObj>
        <w:docPartGallery w:val="Page Numbers (Bottom of Page)"/>
        <w:docPartUnique/>
      </w:docPartObj>
    </w:sdtPr>
    <w:sdtContent>
      <w:sdt>
        <w:sdtPr>
          <w:id w:val="565050523"/>
          <w:docPartObj>
            <w:docPartGallery w:val="Page Numbers (Top of Page)"/>
            <w:docPartUnique/>
          </w:docPartObj>
        </w:sdtPr>
        <w:sdtContent>
          <w:p w:rsidR="005B0203" w:rsidRDefault="00726998" w:rsidP="005B0203">
            <w:pPr>
              <w:pStyle w:val="Footer"/>
              <w:tabs>
                <w:tab w:val="clear" w:pos="4680"/>
              </w:tabs>
              <w:ind w:firstLine="2160"/>
              <w:jc w:val="right"/>
            </w:pPr>
            <w:r>
              <w:t>Form Revised 04/01</w:t>
            </w:r>
            <w:r w:rsidR="005B0203">
              <w:t>/2011</w:t>
            </w:r>
            <w:r w:rsidR="005B0203">
              <w:tab/>
              <w:t xml:space="preserve">Page </w:t>
            </w:r>
            <w:r w:rsidR="007E0815">
              <w:rPr>
                <w:b/>
                <w:sz w:val="24"/>
                <w:szCs w:val="24"/>
              </w:rPr>
              <w:fldChar w:fldCharType="begin"/>
            </w:r>
            <w:r w:rsidR="005B0203">
              <w:rPr>
                <w:b/>
              </w:rPr>
              <w:instrText xml:space="preserve"> PAGE </w:instrText>
            </w:r>
            <w:r w:rsidR="007E0815">
              <w:rPr>
                <w:b/>
                <w:sz w:val="24"/>
                <w:szCs w:val="24"/>
              </w:rPr>
              <w:fldChar w:fldCharType="separate"/>
            </w:r>
            <w:r w:rsidR="00E554DD">
              <w:rPr>
                <w:b/>
                <w:noProof/>
              </w:rPr>
              <w:t>3</w:t>
            </w:r>
            <w:r w:rsidR="007E0815">
              <w:rPr>
                <w:b/>
                <w:sz w:val="24"/>
                <w:szCs w:val="24"/>
              </w:rPr>
              <w:fldChar w:fldCharType="end"/>
            </w:r>
            <w:r w:rsidR="005B0203">
              <w:t xml:space="preserve"> of </w:t>
            </w:r>
            <w:r w:rsidR="007E0815">
              <w:rPr>
                <w:b/>
                <w:sz w:val="24"/>
                <w:szCs w:val="24"/>
              </w:rPr>
              <w:fldChar w:fldCharType="begin"/>
            </w:r>
            <w:r w:rsidR="005B0203">
              <w:rPr>
                <w:b/>
              </w:rPr>
              <w:instrText xml:space="preserve"> NUMPAGES  </w:instrText>
            </w:r>
            <w:r w:rsidR="007E0815">
              <w:rPr>
                <w:b/>
                <w:sz w:val="24"/>
                <w:szCs w:val="24"/>
              </w:rPr>
              <w:fldChar w:fldCharType="separate"/>
            </w:r>
            <w:r w:rsidR="00E554DD">
              <w:rPr>
                <w:b/>
                <w:noProof/>
              </w:rPr>
              <w:t>6</w:t>
            </w:r>
            <w:r w:rsidR="007E0815">
              <w:rPr>
                <w:b/>
                <w:sz w:val="24"/>
                <w:szCs w:val="24"/>
              </w:rPr>
              <w:fldChar w:fldCharType="end"/>
            </w:r>
          </w:p>
        </w:sdtContent>
      </w:sdt>
    </w:sdtContent>
  </w:sdt>
  <w:p w:rsidR="0003119C" w:rsidRDefault="000311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839" w:rsidRDefault="002F7839" w:rsidP="0003119C">
      <w:r>
        <w:separator/>
      </w:r>
    </w:p>
  </w:footnote>
  <w:footnote w:type="continuationSeparator" w:id="0">
    <w:p w:rsidR="002F7839" w:rsidRDefault="002F7839" w:rsidP="000311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E3D1C1"/>
    <w:multiLevelType w:val="hybridMultilevel"/>
    <w:tmpl w:val="FB7BB2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EC675FA"/>
    <w:multiLevelType w:val="hybridMultilevel"/>
    <w:tmpl w:val="633D8D89"/>
    <w:lvl w:ilvl="0" w:tplc="FFFFFFFF">
      <w:start w:val="1"/>
      <w:numFmt w:val="bullet"/>
      <w:lvlText w:val="•"/>
      <w:lvlJc w:val="left"/>
    </w:lvl>
    <w:lvl w:ilvl="1" w:tplc="FFFFFFFF">
      <w:start w:val="1"/>
      <w:numFmt w:val="ideographDigital"/>
      <w:lvlText w:val="•"/>
      <w:lvlJc w:val="left"/>
    </w:lvl>
    <w:lvl w:ilvl="2" w:tplc="19AA8120">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61FBAA"/>
    <w:multiLevelType w:val="hybridMultilevel"/>
    <w:tmpl w:val="3D421E1B"/>
    <w:lvl w:ilvl="0" w:tplc="FFFFFFFF">
      <w:start w:val="1"/>
      <w:numFmt w:val="bullet"/>
      <w:lvlText w:val="•"/>
      <w:lvlJc w:val="left"/>
    </w:lvl>
    <w:lvl w:ilvl="1" w:tplc="FFFFFFFF">
      <w:start w:val="1"/>
      <w:numFmt w:val="ideographDigital"/>
      <w:lvlText w:val="•"/>
      <w:lvlJc w:val="left"/>
    </w:lvl>
    <w:lvl w:ilvl="2" w:tplc="6D3C4781">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9C60900"/>
    <w:multiLevelType w:val="hybridMultilevel"/>
    <w:tmpl w:val="0EC27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78510B"/>
    <w:multiLevelType w:val="hybridMultilevel"/>
    <w:tmpl w:val="AA16A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084474"/>
    <w:multiLevelType w:val="hybridMultilevel"/>
    <w:tmpl w:val="D4A0B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325405"/>
    <w:multiLevelType w:val="hybridMultilevel"/>
    <w:tmpl w:val="0150B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015083"/>
    <w:multiLevelType w:val="hybridMultilevel"/>
    <w:tmpl w:val="E048C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C624EF"/>
    <w:multiLevelType w:val="hybridMultilevel"/>
    <w:tmpl w:val="5E3CE4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4AF72622"/>
    <w:multiLevelType w:val="hybridMultilevel"/>
    <w:tmpl w:val="2B000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4A29F9"/>
    <w:multiLevelType w:val="hybridMultilevel"/>
    <w:tmpl w:val="BF2C8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E0111F"/>
    <w:multiLevelType w:val="hybridMultilevel"/>
    <w:tmpl w:val="FBD2E0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527A46FC"/>
    <w:multiLevelType w:val="hybridMultilevel"/>
    <w:tmpl w:val="C60AE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510B71"/>
    <w:multiLevelType w:val="hybridMultilevel"/>
    <w:tmpl w:val="3648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C45F6C"/>
    <w:multiLevelType w:val="hybridMultilevel"/>
    <w:tmpl w:val="E04EA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C3BEB8"/>
    <w:multiLevelType w:val="hybridMultilevel"/>
    <w:tmpl w:val="2958D7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7C7D1032"/>
    <w:multiLevelType w:val="hybridMultilevel"/>
    <w:tmpl w:val="DC984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8"/>
  </w:num>
  <w:num w:numId="4">
    <w:abstractNumId w:val="0"/>
  </w:num>
  <w:num w:numId="5">
    <w:abstractNumId w:val="11"/>
  </w:num>
  <w:num w:numId="6">
    <w:abstractNumId w:val="15"/>
  </w:num>
  <w:num w:numId="7">
    <w:abstractNumId w:val="7"/>
  </w:num>
  <w:num w:numId="8">
    <w:abstractNumId w:val="13"/>
  </w:num>
  <w:num w:numId="9">
    <w:abstractNumId w:val="5"/>
  </w:num>
  <w:num w:numId="10">
    <w:abstractNumId w:val="9"/>
  </w:num>
  <w:num w:numId="11">
    <w:abstractNumId w:val="10"/>
  </w:num>
  <w:num w:numId="12">
    <w:abstractNumId w:val="4"/>
  </w:num>
  <w:num w:numId="13">
    <w:abstractNumId w:val="3"/>
  </w:num>
  <w:num w:numId="14">
    <w:abstractNumId w:val="14"/>
  </w:num>
  <w:num w:numId="15">
    <w:abstractNumId w:val="16"/>
  </w:num>
  <w:num w:numId="16">
    <w:abstractNumId w:val="12"/>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AC3431"/>
    <w:rsid w:val="0003119C"/>
    <w:rsid w:val="00056D85"/>
    <w:rsid w:val="00087AE2"/>
    <w:rsid w:val="00154D4C"/>
    <w:rsid w:val="00157BF0"/>
    <w:rsid w:val="0016115A"/>
    <w:rsid w:val="001A04B1"/>
    <w:rsid w:val="001F6D80"/>
    <w:rsid w:val="00200CC5"/>
    <w:rsid w:val="002477C8"/>
    <w:rsid w:val="00284BE6"/>
    <w:rsid w:val="002F7839"/>
    <w:rsid w:val="003257A1"/>
    <w:rsid w:val="0033773C"/>
    <w:rsid w:val="003A12CF"/>
    <w:rsid w:val="003D4CE1"/>
    <w:rsid w:val="00432376"/>
    <w:rsid w:val="00497412"/>
    <w:rsid w:val="004A000D"/>
    <w:rsid w:val="004B609C"/>
    <w:rsid w:val="00501CCE"/>
    <w:rsid w:val="00503A0F"/>
    <w:rsid w:val="00531FB1"/>
    <w:rsid w:val="005B0203"/>
    <w:rsid w:val="005E09DD"/>
    <w:rsid w:val="00654DE5"/>
    <w:rsid w:val="006B6FD9"/>
    <w:rsid w:val="006C0090"/>
    <w:rsid w:val="00700030"/>
    <w:rsid w:val="00726998"/>
    <w:rsid w:val="00736082"/>
    <w:rsid w:val="007D098D"/>
    <w:rsid w:val="007E0815"/>
    <w:rsid w:val="008811B6"/>
    <w:rsid w:val="008E4E93"/>
    <w:rsid w:val="009425C3"/>
    <w:rsid w:val="00AB53F8"/>
    <w:rsid w:val="00AC3431"/>
    <w:rsid w:val="00B07BA4"/>
    <w:rsid w:val="00B12EE5"/>
    <w:rsid w:val="00B409B1"/>
    <w:rsid w:val="00B63A09"/>
    <w:rsid w:val="00C46FB6"/>
    <w:rsid w:val="00C61BDC"/>
    <w:rsid w:val="00C71587"/>
    <w:rsid w:val="00D14D59"/>
    <w:rsid w:val="00DA1270"/>
    <w:rsid w:val="00E554DD"/>
    <w:rsid w:val="00EE69B3"/>
    <w:rsid w:val="00F1224A"/>
    <w:rsid w:val="00F50A00"/>
    <w:rsid w:val="00FE2D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3F8"/>
    <w:pPr>
      <w:ind w:left="720"/>
    </w:pPr>
    <w:rPr>
      <w:sz w:val="22"/>
      <w:szCs w:val="22"/>
    </w:rPr>
  </w:style>
  <w:style w:type="paragraph" w:styleId="Heading1">
    <w:name w:val="heading 1"/>
    <w:basedOn w:val="Normal"/>
    <w:next w:val="Normal"/>
    <w:link w:val="Heading1Char"/>
    <w:uiPriority w:val="9"/>
    <w:qFormat/>
    <w:rsid w:val="00700030"/>
    <w:pPr>
      <w:spacing w:after="160"/>
      <w:ind w:left="0"/>
      <w:contextualSpacing/>
      <w:outlineLvl w:val="0"/>
    </w:pPr>
    <w:rPr>
      <w:rFonts w:eastAsia="Times New Roman"/>
      <w:caps/>
      <w:color w:val="4F81BD"/>
      <w:spacing w:val="10"/>
      <w:kern w:val="28"/>
      <w:sz w:val="40"/>
      <w:szCs w:val="40"/>
      <w:lang w:bidi="en-US"/>
    </w:rPr>
  </w:style>
  <w:style w:type="paragraph" w:styleId="Heading2">
    <w:name w:val="heading 2"/>
    <w:basedOn w:val="Heading1"/>
    <w:next w:val="Normal"/>
    <w:link w:val="Heading2Char"/>
    <w:uiPriority w:val="9"/>
    <w:unhideWhenUsed/>
    <w:qFormat/>
    <w:rsid w:val="00700030"/>
    <w:pPr>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contextualSpacing w:val="0"/>
      <w:outlineLvl w:val="1"/>
    </w:pPr>
    <w:rPr>
      <w:b/>
      <w:bCs/>
      <w:color w:val="FFFFFF"/>
      <w:spacing w:val="15"/>
      <w:kern w:val="0"/>
      <w:sz w:val="22"/>
      <w:szCs w:val="22"/>
    </w:rPr>
  </w:style>
  <w:style w:type="paragraph" w:styleId="Heading3">
    <w:name w:val="heading 3"/>
    <w:basedOn w:val="Heading2"/>
    <w:next w:val="Normal"/>
    <w:link w:val="Heading3Char"/>
    <w:uiPriority w:val="9"/>
    <w:unhideWhenUsed/>
    <w:qFormat/>
    <w:rsid w:val="00700030"/>
    <w:pPr>
      <w:pBdr>
        <w:top w:val="single" w:sz="24" w:space="0" w:color="DBE5F1"/>
        <w:left w:val="single" w:sz="24" w:space="0" w:color="DBE5F1"/>
        <w:bottom w:val="single" w:sz="24" w:space="0" w:color="DBE5F1"/>
        <w:right w:val="single" w:sz="24" w:space="0" w:color="DBE5F1"/>
      </w:pBdr>
      <w:shd w:val="clear" w:color="auto" w:fill="DBE5F1"/>
      <w:outlineLvl w:val="2"/>
    </w:pPr>
    <w:rPr>
      <w:b w:val="0"/>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3431"/>
    <w:pPr>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AC3431"/>
    <w:rPr>
      <w:color w:val="auto"/>
    </w:rPr>
  </w:style>
  <w:style w:type="paragraph" w:customStyle="1" w:styleId="CM12">
    <w:name w:val="CM12"/>
    <w:basedOn w:val="Default"/>
    <w:next w:val="Default"/>
    <w:uiPriority w:val="99"/>
    <w:rsid w:val="00AC3431"/>
    <w:rPr>
      <w:color w:val="auto"/>
    </w:rPr>
  </w:style>
  <w:style w:type="paragraph" w:customStyle="1" w:styleId="CM6">
    <w:name w:val="CM6"/>
    <w:basedOn w:val="Default"/>
    <w:next w:val="Default"/>
    <w:uiPriority w:val="99"/>
    <w:rsid w:val="00AC3431"/>
    <w:pPr>
      <w:spacing w:line="276" w:lineRule="atLeast"/>
    </w:pPr>
    <w:rPr>
      <w:color w:val="auto"/>
    </w:rPr>
  </w:style>
  <w:style w:type="paragraph" w:styleId="Header">
    <w:name w:val="header"/>
    <w:basedOn w:val="Normal"/>
    <w:link w:val="HeaderChar"/>
    <w:uiPriority w:val="99"/>
    <w:unhideWhenUsed/>
    <w:rsid w:val="0003119C"/>
    <w:pPr>
      <w:tabs>
        <w:tab w:val="center" w:pos="4680"/>
        <w:tab w:val="right" w:pos="9360"/>
      </w:tabs>
    </w:pPr>
  </w:style>
  <w:style w:type="character" w:customStyle="1" w:styleId="HeaderChar">
    <w:name w:val="Header Char"/>
    <w:basedOn w:val="DefaultParagraphFont"/>
    <w:link w:val="Header"/>
    <w:uiPriority w:val="99"/>
    <w:rsid w:val="0003119C"/>
  </w:style>
  <w:style w:type="paragraph" w:styleId="Footer">
    <w:name w:val="footer"/>
    <w:basedOn w:val="Normal"/>
    <w:link w:val="FooterChar"/>
    <w:uiPriority w:val="99"/>
    <w:unhideWhenUsed/>
    <w:rsid w:val="0003119C"/>
    <w:pPr>
      <w:tabs>
        <w:tab w:val="center" w:pos="4680"/>
        <w:tab w:val="right" w:pos="9360"/>
      </w:tabs>
    </w:pPr>
  </w:style>
  <w:style w:type="character" w:customStyle="1" w:styleId="FooterChar">
    <w:name w:val="Footer Char"/>
    <w:basedOn w:val="DefaultParagraphFont"/>
    <w:link w:val="Footer"/>
    <w:uiPriority w:val="99"/>
    <w:rsid w:val="0003119C"/>
  </w:style>
  <w:style w:type="paragraph" w:styleId="BalloonText">
    <w:name w:val="Balloon Text"/>
    <w:basedOn w:val="Normal"/>
    <w:link w:val="BalloonTextChar"/>
    <w:uiPriority w:val="99"/>
    <w:semiHidden/>
    <w:unhideWhenUsed/>
    <w:rsid w:val="004B609C"/>
    <w:rPr>
      <w:rFonts w:ascii="Tahoma" w:hAnsi="Tahoma" w:cs="Tahoma"/>
      <w:sz w:val="16"/>
      <w:szCs w:val="16"/>
    </w:rPr>
  </w:style>
  <w:style w:type="character" w:customStyle="1" w:styleId="BalloonTextChar">
    <w:name w:val="Balloon Text Char"/>
    <w:basedOn w:val="DefaultParagraphFont"/>
    <w:link w:val="BalloonText"/>
    <w:uiPriority w:val="99"/>
    <w:semiHidden/>
    <w:rsid w:val="004B609C"/>
    <w:rPr>
      <w:rFonts w:ascii="Tahoma" w:hAnsi="Tahoma" w:cs="Tahoma"/>
      <w:sz w:val="16"/>
      <w:szCs w:val="16"/>
    </w:rPr>
  </w:style>
  <w:style w:type="character" w:customStyle="1" w:styleId="Heading1Char">
    <w:name w:val="Heading 1 Char"/>
    <w:basedOn w:val="DefaultParagraphFont"/>
    <w:link w:val="Heading1"/>
    <w:uiPriority w:val="9"/>
    <w:rsid w:val="00700030"/>
    <w:rPr>
      <w:rFonts w:eastAsia="Times New Roman"/>
      <w:caps/>
      <w:color w:val="4F81BD"/>
      <w:spacing w:val="10"/>
      <w:kern w:val="28"/>
      <w:sz w:val="40"/>
      <w:szCs w:val="40"/>
      <w:lang w:bidi="en-US"/>
    </w:rPr>
  </w:style>
  <w:style w:type="paragraph" w:styleId="Title">
    <w:name w:val="Title"/>
    <w:basedOn w:val="Normal"/>
    <w:next w:val="Normal"/>
    <w:link w:val="TitleChar"/>
    <w:uiPriority w:val="10"/>
    <w:qFormat/>
    <w:rsid w:val="00700030"/>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700030"/>
    <w:rPr>
      <w:rFonts w:ascii="Cambria" w:eastAsia="Times New Roman" w:hAnsi="Cambria" w:cs="Times New Roman"/>
      <w:b/>
      <w:bCs/>
      <w:kern w:val="28"/>
      <w:sz w:val="32"/>
      <w:szCs w:val="32"/>
    </w:rPr>
  </w:style>
  <w:style w:type="character" w:customStyle="1" w:styleId="Heading2Char">
    <w:name w:val="Heading 2 Char"/>
    <w:basedOn w:val="DefaultParagraphFont"/>
    <w:link w:val="Heading2"/>
    <w:uiPriority w:val="9"/>
    <w:rsid w:val="00700030"/>
    <w:rPr>
      <w:rFonts w:eastAsia="Times New Roman"/>
      <w:b/>
      <w:bCs/>
      <w:caps/>
      <w:color w:val="FFFFFF"/>
      <w:spacing w:val="15"/>
      <w:sz w:val="22"/>
      <w:szCs w:val="22"/>
      <w:shd w:val="clear" w:color="auto" w:fill="4F81BD"/>
      <w:lang w:bidi="en-US"/>
    </w:rPr>
  </w:style>
  <w:style w:type="character" w:customStyle="1" w:styleId="Heading3Char">
    <w:name w:val="Heading 3 Char"/>
    <w:basedOn w:val="DefaultParagraphFont"/>
    <w:link w:val="Heading3"/>
    <w:uiPriority w:val="9"/>
    <w:rsid w:val="00700030"/>
    <w:rPr>
      <w:rFonts w:eastAsia="Times New Roman"/>
      <w:caps/>
      <w:spacing w:val="15"/>
      <w:sz w:val="22"/>
      <w:szCs w:val="22"/>
      <w:shd w:val="clear" w:color="auto" w:fill="DBE5F1"/>
      <w:lang w:bidi="en-US"/>
    </w:rPr>
  </w:style>
  <w:style w:type="character" w:styleId="CommentReference">
    <w:name w:val="annotation reference"/>
    <w:basedOn w:val="DefaultParagraphFont"/>
    <w:uiPriority w:val="99"/>
    <w:semiHidden/>
    <w:unhideWhenUsed/>
    <w:rsid w:val="00432376"/>
    <w:rPr>
      <w:sz w:val="16"/>
      <w:szCs w:val="16"/>
    </w:rPr>
  </w:style>
  <w:style w:type="paragraph" w:styleId="CommentText">
    <w:name w:val="annotation text"/>
    <w:basedOn w:val="Normal"/>
    <w:link w:val="CommentTextChar"/>
    <w:uiPriority w:val="99"/>
    <w:semiHidden/>
    <w:unhideWhenUsed/>
    <w:rsid w:val="00432376"/>
    <w:rPr>
      <w:sz w:val="20"/>
      <w:szCs w:val="20"/>
    </w:rPr>
  </w:style>
  <w:style w:type="character" w:customStyle="1" w:styleId="CommentTextChar">
    <w:name w:val="Comment Text Char"/>
    <w:basedOn w:val="DefaultParagraphFont"/>
    <w:link w:val="CommentText"/>
    <w:uiPriority w:val="99"/>
    <w:semiHidden/>
    <w:rsid w:val="00432376"/>
  </w:style>
  <w:style w:type="paragraph" w:styleId="CommentSubject">
    <w:name w:val="annotation subject"/>
    <w:basedOn w:val="CommentText"/>
    <w:next w:val="CommentText"/>
    <w:link w:val="CommentSubjectChar"/>
    <w:uiPriority w:val="99"/>
    <w:semiHidden/>
    <w:unhideWhenUsed/>
    <w:rsid w:val="00432376"/>
    <w:rPr>
      <w:b/>
      <w:bCs/>
    </w:rPr>
  </w:style>
  <w:style w:type="character" w:customStyle="1" w:styleId="CommentSubjectChar">
    <w:name w:val="Comment Subject Char"/>
    <w:basedOn w:val="CommentTextChar"/>
    <w:link w:val="CommentSubject"/>
    <w:uiPriority w:val="99"/>
    <w:semiHidden/>
    <w:rsid w:val="00432376"/>
    <w:rPr>
      <w:b/>
      <w:bCs/>
    </w:rPr>
  </w:style>
  <w:style w:type="paragraph" w:styleId="Revision">
    <w:name w:val="Revision"/>
    <w:hidden/>
    <w:uiPriority w:val="99"/>
    <w:semiHidden/>
    <w:rsid w:val="00432376"/>
    <w:rPr>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97BD5-4A7E-409B-B11E-FF577757C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Bill Raup; Skye Schell; Timothy Unruh</Manager>
  <Company>DOE Federal Energy Management Program</Company>
  <LinksUpToDate>false</LinksUpToDate>
  <CharactersWithSpaces>9322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FEMP Template for Evaluating ESCO Preliminary Assessment</dc:title>
  <dc:creator>braup</dc:creator>
  <cp:revision>7</cp:revision>
  <cp:lastPrinted>2011-03-02T16:18:00Z</cp:lastPrinted>
  <dcterms:created xsi:type="dcterms:W3CDTF">2011-03-21T19:05:00Z</dcterms:created>
  <dcterms:modified xsi:type="dcterms:W3CDTF">2011-04-01T17:32:00Z</dcterms:modified>
</cp:coreProperties>
</file>